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  <w:lang w:val="en-US" w:eastAsia="zh-CN"/>
        </w:rPr>
        <w:t>附件1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拟发文件属性管理意见表</w:t>
      </w:r>
    </w:p>
    <w:tbl>
      <w:tblPr>
        <w:tblStyle w:val="2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76"/>
        <w:gridCol w:w="2812"/>
        <w:gridCol w:w="456"/>
        <w:gridCol w:w="456"/>
        <w:gridCol w:w="1429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报文单位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报文文号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责任股室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办公电话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拟发文件标题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33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是否涉密</w:t>
            </w:r>
          </w:p>
        </w:tc>
        <w:tc>
          <w:tcPr>
            <w:tcW w:w="3268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</w:tc>
        <w:tc>
          <w:tcPr>
            <w:tcW w:w="425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57" w:type="dxa"/>
            <w:vMerge w:val="restart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涉密文件</w:t>
            </w:r>
          </w:p>
        </w:tc>
        <w:tc>
          <w:tcPr>
            <w:tcW w:w="4288" w:type="dxa"/>
            <w:gridSpan w:val="2"/>
            <w:vMerge w:val="restart"/>
          </w:tcPr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密    级：□绝密□机密□秘密</w:t>
            </w:r>
          </w:p>
          <w:p>
            <w:pPr>
              <w:spacing w:line="600" w:lineRule="exact"/>
              <w:ind w:left="120" w:hanging="120" w:hanging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保密期限：□年□月□日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密点标注：□全文  □标注  □附件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解密条件：□自行解密  □审查解密</w:t>
            </w:r>
          </w:p>
          <w:p>
            <w:pPr>
              <w:spacing w:line="600" w:lineRule="exact"/>
              <w:ind w:left="1200" w:hanging="1200" w:hangingChars="5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发放范围：□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仿宋_GB2312" w:eastAsia="仿宋_GB2312"/>
                <w:sz w:val="24"/>
                <w:szCs w:val="24"/>
              </w:rPr>
              <w:t>政府 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直单位</w:t>
            </w:r>
          </w:p>
          <w:p>
            <w:pPr>
              <w:spacing w:line="600" w:lineRule="exact"/>
              <w:ind w:left="1050" w:leftChars="500" w:firstLine="158" w:firstLineChars="6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□依名单</w:t>
            </w:r>
          </w:p>
        </w:tc>
        <w:tc>
          <w:tcPr>
            <w:tcW w:w="456" w:type="dxa"/>
            <w:vMerge w:val="restart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非涉密文件</w:t>
            </w:r>
          </w:p>
        </w:tc>
        <w:tc>
          <w:tcPr>
            <w:tcW w:w="456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公开属性</w:t>
            </w:r>
          </w:p>
        </w:tc>
        <w:tc>
          <w:tcPr>
            <w:tcW w:w="3799" w:type="dxa"/>
            <w:gridSpan w:val="2"/>
          </w:tcPr>
          <w:p>
            <w:pPr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主动公开  □依申请公开</w:t>
            </w:r>
          </w:p>
          <w:p>
            <w:pPr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不予公开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457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解读</w:t>
            </w:r>
          </w:p>
        </w:tc>
        <w:tc>
          <w:tcPr>
            <w:tcW w:w="3799" w:type="dxa"/>
            <w:gridSpan w:val="2"/>
          </w:tcPr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解读材料报送情况：</w:t>
            </w:r>
          </w:p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已报送 □未报送 </w:t>
            </w:r>
            <w:r>
              <w:rPr>
                <w:rFonts w:hint="default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不作解读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7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归类</w:t>
            </w:r>
          </w:p>
        </w:tc>
        <w:tc>
          <w:tcPr>
            <w:tcW w:w="3799" w:type="dxa"/>
            <w:gridSpan w:val="2"/>
          </w:tcPr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拟发公文归类表：</w:t>
            </w:r>
          </w:p>
          <w:p>
            <w:pPr>
              <w:spacing w:line="440" w:lineRule="exac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已填</w:t>
            </w:r>
          </w:p>
          <w:p>
            <w:pPr>
              <w:spacing w:line="440" w:lineRule="exac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□未填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57" w:type="dxa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依据和理由</w:t>
            </w:r>
          </w:p>
        </w:tc>
        <w:tc>
          <w:tcPr>
            <w:tcW w:w="8999" w:type="dxa"/>
            <w:gridSpan w:val="6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见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 </w:t>
            </w:r>
            <w:r>
              <w:rPr>
                <w:rFonts w:hint="default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56" w:type="dxa"/>
            <w:gridSpan w:val="7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联系人：                                </w:t>
            </w:r>
            <w:r>
              <w:rPr>
                <w:rFonts w:hint="default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联系方式：</w:t>
            </w:r>
          </w:p>
        </w:tc>
      </w:tr>
    </w:tbl>
    <w:p>
      <w:pPr>
        <w:ind w:right="-1191" w:rightChars="-567"/>
        <w:rPr>
          <w:rFonts w:ascii="仿宋_GB2312" w:hAnsi="黑体" w:eastAsia="仿宋_GB2312"/>
          <w:sz w:val="22"/>
          <w:szCs w:val="22"/>
        </w:rPr>
      </w:pPr>
      <w:r>
        <w:rPr>
          <w:rFonts w:hint="eastAsia" w:ascii="仿宋_GB2312" w:hAnsi="黑体" w:eastAsia="仿宋_GB2312"/>
          <w:sz w:val="22"/>
          <w:szCs w:val="22"/>
        </w:rPr>
        <w:t>注：1.此表用于部门提请</w:t>
      </w:r>
      <w:r>
        <w:rPr>
          <w:rFonts w:hint="eastAsia" w:ascii="仿宋_GB2312" w:hAnsi="黑体" w:eastAsia="仿宋_GB2312"/>
          <w:sz w:val="22"/>
          <w:szCs w:val="22"/>
          <w:lang w:eastAsia="zh-CN"/>
        </w:rPr>
        <w:t>县</w:t>
      </w:r>
      <w:r>
        <w:rPr>
          <w:rFonts w:hint="eastAsia" w:ascii="仿宋_GB2312" w:hAnsi="黑体" w:eastAsia="仿宋_GB2312"/>
          <w:sz w:val="22"/>
          <w:szCs w:val="22"/>
        </w:rPr>
        <w:t>政府或</w:t>
      </w:r>
      <w:r>
        <w:rPr>
          <w:rFonts w:hint="eastAsia" w:ascii="仿宋_GB2312" w:hAnsi="黑体" w:eastAsia="仿宋_GB2312"/>
          <w:sz w:val="22"/>
          <w:szCs w:val="22"/>
          <w:lang w:eastAsia="zh-CN"/>
        </w:rPr>
        <w:t>县</w:t>
      </w:r>
      <w:r>
        <w:rPr>
          <w:rFonts w:hint="eastAsia" w:ascii="仿宋_GB2312" w:hAnsi="黑体" w:eastAsia="仿宋_GB2312"/>
          <w:sz w:val="22"/>
          <w:szCs w:val="22"/>
        </w:rPr>
        <w:t>政府办公室发文的代拟稿保密及公开属性确定，与请示同时报送。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ascii="仿宋_GB2312" w:hAnsi="黑体" w:eastAsia="仿宋_GB2312"/>
          <w:sz w:val="22"/>
          <w:szCs w:val="22"/>
        </w:rPr>
      </w:pPr>
      <w:r>
        <w:rPr>
          <w:rFonts w:hint="eastAsia" w:ascii="仿宋_GB2312" w:hAnsi="黑体" w:eastAsia="仿宋_GB2312"/>
          <w:sz w:val="22"/>
          <w:szCs w:val="22"/>
        </w:rPr>
        <w:t>2.拟定为依申请公开和不予公开的文件，要说明依据和理由。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eastAsia="仿宋_GB2312" w:asciiTheme="minorHAnsi" w:hAnsiTheme="minorHAnsi"/>
          <w:sz w:val="22"/>
          <w:szCs w:val="22"/>
        </w:rPr>
      </w:pPr>
      <w:r>
        <w:rPr>
          <w:rFonts w:hint="eastAsia" w:ascii="仿宋_GB2312" w:hAnsi="黑体" w:eastAsia="仿宋_GB2312"/>
          <w:sz w:val="22"/>
          <w:szCs w:val="22"/>
        </w:rPr>
        <w:t>3.拟定为主动公开的文件，要附解读材料或说明不作解读的依据和理由。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mE2MzE0N2EwZDFhMzE0OGY5NDg0ZDVlN2ZiNDIifQ=="/>
  </w:docVars>
  <w:rsids>
    <w:rsidRoot w:val="1DA95B2A"/>
    <w:rsid w:val="1DA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2023-01-12T07:45:00Z</dcterms:created>
  <dc:creator>huawei</dc:creator>
  <cp:lastModifiedBy>huawei</cp:lastModifiedBy>
  <dcterms:modified xsi:type="dcterms:W3CDTF">2023-01-12T07:45:58Z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05BCFBACDDEC4F5882B86003315348AB</vt:lpwstr>
  </property>
</Properties>
</file>