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overflowPunct/>
        <w:topLinePunct w:val="0"/>
        <w:autoSpaceDE/>
        <w:autoSpaceDN/>
        <w:bidi w:val="0"/>
        <w:adjustRightInd/>
        <w:spacing w:line="570" w:lineRule="exact"/>
        <w:jc w:val="left"/>
        <w:textAlignment w:val="auto"/>
        <w:rPr>
          <w:rFonts w:hint="eastAsia" w:ascii="黑体" w:hAnsi="黑体" w:eastAsia="黑体" w:cs="黑体"/>
          <w:b w:val="0"/>
          <w:bCs w:val="0"/>
          <w:spacing w:val="-4"/>
          <w:sz w:val="31"/>
          <w:szCs w:val="31"/>
          <w:lang w:val="en-US" w:eastAsia="zh-CN"/>
        </w:rPr>
      </w:pPr>
      <w:r>
        <w:rPr>
          <w:rFonts w:ascii="黑体" w:hAnsi="黑体" w:eastAsia="黑体" w:cs="黑体"/>
          <w:b w:val="0"/>
          <w:bCs w:val="0"/>
          <w:spacing w:val="-4"/>
          <w:sz w:val="31"/>
          <w:szCs w:val="31"/>
        </w:rPr>
        <w:t>附件</w:t>
      </w:r>
      <w:r>
        <w:rPr>
          <w:rFonts w:hint="eastAsia" w:ascii="黑体" w:hAnsi="黑体" w:eastAsia="黑体" w:cs="黑体"/>
          <w:b w:val="0"/>
          <w:bCs w:val="0"/>
          <w:spacing w:val="-4"/>
          <w:sz w:val="31"/>
          <w:szCs w:val="31"/>
          <w:lang w:val="en-US" w:eastAsia="zh-CN"/>
        </w:rPr>
        <w:t>1</w:t>
      </w:r>
    </w:p>
    <w:p>
      <w:pPr>
        <w:pStyle w:val="11"/>
        <w:keepNext w:val="0"/>
        <w:keepLines w:val="0"/>
        <w:pageBreakBefore w:val="0"/>
        <w:kinsoku/>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脱贫劳动力务工就业“百日攻坚”</w:t>
      </w:r>
    </w:p>
    <w:p>
      <w:pPr>
        <w:pStyle w:val="11"/>
        <w:keepNext w:val="0"/>
        <w:keepLines w:val="0"/>
        <w:pageBreakBefore w:val="0"/>
        <w:kinsoku/>
        <w:overflowPunct/>
        <w:topLinePunct w:val="0"/>
        <w:autoSpaceDE/>
        <w:autoSpaceDN/>
        <w:bidi w:val="0"/>
        <w:adjustRightInd/>
        <w:spacing w:line="570" w:lineRule="exact"/>
        <w:jc w:val="center"/>
        <w:textAlignment w:val="auto"/>
        <w:rPr>
          <w:rFonts w:hint="default"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春季行动实施方案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务工就业是促进脱贫群众持续稳定增收，巩固拓展脱贫攻坚成果的重要举措。为深入贯彻落实党的二十大精神和中央一号文件、中央农村工作会议精神，按照省、市、县巩固衔接领导小组部署要求，确保脱贫劳动力(含监测户劳动力，下同)务工就业规模总体稳定，务工就业收入稳中有增，年度目标任务高质量完成，结合我乡实际，特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一、攻坚目标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一稳、两拓、两创、两提升”的总体思路和目标要求，稳定就业规模，拓展就业空间，拓宽就业渠道，创品牌，创机制，提升就业质量，提升政策效能，全年脱贫劳动力务工就业规模稳定。2022年度脱贫劳动力务工省外、省内县外务工就业一次性交通补贴、务工就业稳岗补助等应发尽发，3月底前全部发放到位。4月底前，脱贫劳动力务工就业人数达到90%，基本完成年度目标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(一)稳住就业规模。</w:t>
      </w:r>
      <w:r>
        <w:rPr>
          <w:rFonts w:hint="eastAsia" w:ascii="仿宋_GB2312" w:hAnsi="仿宋_GB2312" w:eastAsia="仿宋_GB2312" w:cs="仿宋_GB2312"/>
          <w:sz w:val="32"/>
          <w:szCs w:val="32"/>
          <w:lang w:val="en-US" w:eastAsia="zh-CN"/>
        </w:rPr>
        <w:t>充分发挥劳务协作、对口支援、定点帮扶和省内劳务协作机制作用，组织动员脱贫劳动力外出务工；统筹县域产业发展、就业帮扶车间、乡村公益岗位、以工代赈项目和自主创业就业等，支持引导就近就地就业；聚焦易地搬迁安置区脱贫劳动力，深入开展就业帮扶专项行动。确保4月底前基本完成年度任务，为完成全年目标打下坚实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(二)落实帮扶政策</w:t>
      </w:r>
      <w:r>
        <w:rPr>
          <w:rFonts w:hint="eastAsia" w:ascii="仿宋_GB2312" w:hAnsi="仿宋_GB2312" w:eastAsia="仿宋_GB2312" w:cs="仿宋_GB2312"/>
          <w:sz w:val="32"/>
          <w:szCs w:val="32"/>
          <w:lang w:val="en-US" w:eastAsia="zh-CN"/>
        </w:rPr>
        <w:t>。乡村振兴站、劳动就业站等相关部门按照职责分工，抓紧兑现落实脱贫劳动力外出务工交通补贴、务工就业稳岗补助等就业帮扶政策，促进脱贫劳动力稳岗就业，增加收入。2022年度脱贫劳动力务工省外、省内县外务工就业一次性交通补贴、务工就业稳岗补助等应发尽发，3月底前全部发放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(三)抓好就业摸底。</w:t>
      </w:r>
      <w:r>
        <w:rPr>
          <w:rFonts w:hint="eastAsia" w:ascii="仿宋_GB2312" w:hAnsi="仿宋_GB2312" w:eastAsia="仿宋_GB2312" w:cs="仿宋_GB2312"/>
          <w:sz w:val="32"/>
          <w:szCs w:val="32"/>
          <w:lang w:val="en-US" w:eastAsia="zh-CN"/>
        </w:rPr>
        <w:t>健全完善脱贫劳动力务工就业数据库。延续2022年就业摸底核查方案要求，以村为单位，组织动员乡村干部、驻村第一书记和工作队员逐村逐户开展走访排查，精准掌握脱贫劳动力基本情况、技能培训意愿和务工就业情况，做到底清数明。对务工就业信息每月调度，台账管理，动态跟踪，实时更新，4月底前健全完善村级务工就业信息台账、县级务工就业数据库。协同劳动就业站定期交换脱贫劳动力务工就业数据，为开展精准帮扶提供准确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(四)强化技能培训。</w:t>
      </w:r>
      <w:r>
        <w:rPr>
          <w:rFonts w:hint="eastAsia" w:ascii="仿宋_GB2312" w:hAnsi="仿宋_GB2312" w:eastAsia="仿宋_GB2312" w:cs="仿宋_GB2312"/>
          <w:sz w:val="32"/>
          <w:szCs w:val="32"/>
          <w:lang w:val="en-US" w:eastAsia="zh-CN"/>
        </w:rPr>
        <w:t>依托区域资源禀赋、产业需求、文化特色、就业传统等，对有培训意愿且未就业的脱贫劳动力开展针对性、实用性的技能培训，做到应培尽培。支持引导各类培训主体按需开展菜单式、订单式、定向式、项目制培训和技能等级认定，促进持证上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(五)拓宽就业渠道。</w:t>
      </w:r>
      <w:r>
        <w:rPr>
          <w:rFonts w:hint="eastAsia" w:ascii="仿宋_GB2312" w:hAnsi="仿宋_GB2312" w:eastAsia="仿宋_GB2312" w:cs="仿宋_GB2312"/>
          <w:sz w:val="32"/>
          <w:szCs w:val="32"/>
          <w:lang w:val="en-US" w:eastAsia="zh-CN"/>
        </w:rPr>
        <w:t>充实分类施策支持就业帮扶车间增强吸纳就业能力，实现量的增长和质的提升。统筹用好光伏收益和帮扶资金开发的公益岗位，支持弱劳力、半劳力和因家庭原因无法外出的脱贫劳动力就地就近就业。组织以工代赈项目吸纳脱贫劳动力就业。深入开展“雨露计划+”就业促进行动，帮助雨露计划毕业生实现充分、高质量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(六)提升就业质效。</w:t>
      </w:r>
      <w:r>
        <w:rPr>
          <w:rFonts w:hint="eastAsia" w:ascii="仿宋_GB2312" w:hAnsi="仿宋_GB2312" w:eastAsia="仿宋_GB2312" w:cs="仿宋_GB2312"/>
          <w:sz w:val="32"/>
          <w:szCs w:val="32"/>
          <w:lang w:val="en-US" w:eastAsia="zh-CN"/>
        </w:rPr>
        <w:t>强化分类施策，春节后尚未外出务工的脱贫劳动力，用好用足现有就业帮扶政策，组织动员更多有意愿、有劳动能力的外出务工就业；对已外出务工的脱贫劳动力，强化跟踪服务，精准落实稳岗就业政策措施，稳在当地、稳在企业、稳在岗位；对返乡回流的，帮助其二次务工、本地就业或发展产业。加强重点群体帮扶，对无法外出务工的弱劳力、半劳力，统筹各类资源，做好兜底安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三、推进举措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楷体" w:hAnsi="楷体" w:eastAsia="楷体" w:cs="楷体"/>
          <w:sz w:val="32"/>
          <w:szCs w:val="32"/>
          <w:lang w:val="en-US" w:eastAsia="zh-CN"/>
        </w:rPr>
        <w:t>(一)协同开展就业帮扶活动。</w:t>
      </w:r>
      <w:r>
        <w:rPr>
          <w:rFonts w:hint="eastAsia" w:ascii="仿宋_GB2312" w:hAnsi="仿宋_GB2312" w:eastAsia="仿宋_GB2312" w:cs="仿宋_GB2312"/>
          <w:sz w:val="32"/>
          <w:szCs w:val="32"/>
          <w:lang w:val="en-US" w:eastAsia="zh-CN"/>
        </w:rPr>
        <w:t>配合上级部门组织开展好</w:t>
      </w:r>
      <w:bookmarkEnd w:id="0"/>
      <w:r>
        <w:rPr>
          <w:rFonts w:hint="eastAsia" w:ascii="仿宋_GB2312" w:hAnsi="仿宋_GB2312" w:eastAsia="仿宋_GB2312" w:cs="仿宋_GB2312"/>
          <w:sz w:val="32"/>
          <w:szCs w:val="32"/>
          <w:lang w:val="en-US" w:eastAsia="zh-CN"/>
        </w:rPr>
        <w:t>“春风行动暨就业援助月”、“春暖农民工”服务行动等专项就业服务活动，着力拓宽脱贫劳动力务工就业渠道，乡村振兴站要做好配合工作。以片组织乡村干部、驻村第一书记和工作队员等深入农村、易地搬迁安置区开展就业摸排，走访脱贫家庭就业困难人员，掌握就业情况和服务需求；宣传解读支持脱贫劳动力务工就业帮扶政策，提高政策知晓度。深入挖掘本地特色产业、基础设施建设、以工代赈及城乡基层服务管理项目岗位、吸引脱贫劳动力参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(二)持续跟进兑现政策补助。</w:t>
      </w:r>
      <w:r>
        <w:rPr>
          <w:rFonts w:hint="eastAsia" w:ascii="仿宋_GB2312" w:hAnsi="仿宋_GB2312" w:eastAsia="仿宋_GB2312" w:cs="仿宋_GB2312"/>
          <w:sz w:val="32"/>
          <w:szCs w:val="32"/>
          <w:lang w:val="en-US" w:eastAsia="zh-CN"/>
        </w:rPr>
        <w:t>乡村振兴站要做好务工就业交通补贴、稳岗补助等帮扶政策落实兑现工作。以片组组织乡村干部、驻村第一书记和工作队员，加强与外出务工人员的联系对接，协助收集务工交通补助报销凭证、务工证明材料等并办理相关手续。对符合条件但尚未领取2022年度交通补贴、稳岗补助的脱贫劳动力，加快兑现落实政策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(三)针对性抓好技能培训。</w:t>
      </w:r>
      <w:r>
        <w:rPr>
          <w:rFonts w:hint="eastAsia" w:ascii="仿宋_GB2312" w:hAnsi="仿宋_GB2312" w:eastAsia="仿宋_GB2312" w:cs="仿宋_GB2312"/>
          <w:sz w:val="32"/>
          <w:szCs w:val="32"/>
          <w:lang w:val="en-US" w:eastAsia="zh-CN"/>
        </w:rPr>
        <w:t>摸清底数，掌握需求，劳动就业站要组织力量对脱贫劳动力有意愿接受职业教育和技能培训情况进行摸底，建立培训需求清单，为接受职业教育和技能培训创造条件。分类施策，精准发力，聚焦脱贫户家庭新成长劳动力实施“雨露计划+”就业促进行动，提高职业教育入读率、就业率；聚焦脱贫户家庭青壮年劳动力，开展针对性、实用性技能培训，提高技能专业化水平，推进持证上岗；聚焦重点群体，紧盯返乡回流的脱贫劳动力抓好跟踪服务，根据其技能水平和培训需求、就业意向开展针对性培训，促进加快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(四)加强帮扶车间管理。</w:t>
      </w:r>
      <w:r>
        <w:rPr>
          <w:rFonts w:hint="eastAsia" w:ascii="仿宋_GB2312" w:hAnsi="仿宋_GB2312" w:eastAsia="仿宋_GB2312" w:cs="仿宋_GB2312"/>
          <w:sz w:val="32"/>
          <w:szCs w:val="32"/>
          <w:lang w:val="en-US" w:eastAsia="zh-CN"/>
        </w:rPr>
        <w:t>加强对就业帮扶车间的运行监测，对已经认定的就业帮扶车间，开展月调度，月监测，经营状况不佳、带动就业成效不明显的要尽力盘活用好。落实各项支持政策，引导就业帮扶车间提升吸纳脱贫劳动力就业增收意识，提高吸纳脱贫劳动力就业比例。对因疫情影响、市场影响等造成经营困难的，加强风险隐患排查，针对性落实防范化解措施，降低对脱贫劳动力务工影响。加强政策宣传、推动各项就业帮扶政策包括一次性吸纳就业补助、阶梯性奖补、稳岗补助等政策落实，切实发挥政策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(五)统筹用好各类公益岗位。</w:t>
      </w:r>
      <w:r>
        <w:rPr>
          <w:rFonts w:hint="eastAsia" w:ascii="仿宋_GB2312" w:hAnsi="仿宋_GB2312" w:eastAsia="仿宋_GB2312" w:cs="仿宋_GB2312"/>
          <w:sz w:val="32"/>
          <w:szCs w:val="32"/>
          <w:lang w:val="en-US" w:eastAsia="zh-CN"/>
        </w:rPr>
        <w:t>劳动就业站对“一户一公岗”政策安置的脱贫劳动力重点监测，存在返贫风险的，继续采取公益岗位兜底安置。按照“按需设岗、以岗聘任、在岗领补、有序退岗”原则，加强公益岗位管理，按村建立公益岗位用工台账，确保用工人数底清数明。养老护理、爱心超市管理、保洁消防、护路护林等各类公益岗位，优先保障脱贫户、监测户、残疾人家庭特别是其中的半劳力、弱劳力等就近就地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(六)强化宣传引导和考核激励。</w:t>
      </w:r>
      <w:r>
        <w:rPr>
          <w:rFonts w:hint="eastAsia" w:ascii="仿宋_GB2312" w:hAnsi="仿宋_GB2312" w:eastAsia="仿宋_GB2312" w:cs="仿宋_GB2312"/>
          <w:sz w:val="32"/>
          <w:szCs w:val="32"/>
          <w:lang w:val="en-US" w:eastAsia="zh-CN"/>
        </w:rPr>
        <w:t>利用主流新闻媒体和“抖音”“今日头条”等新媒体平台，宣传推广当地脱贫劳动力务工就业的好经验好做法、好人物好典型。通过建立微信群、入户发放宣传资料等形式提供岗位信息。脱贫劳动力务工就业任务完成、就业帮扶政策落实情况纳入年度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专班推进。</w:t>
      </w:r>
      <w:r>
        <w:rPr>
          <w:rFonts w:hint="eastAsia" w:ascii="仿宋_GB2312" w:hAnsi="仿宋_GB2312" w:eastAsia="仿宋_GB2312" w:cs="仿宋_GB2312"/>
          <w:sz w:val="32"/>
          <w:szCs w:val="32"/>
        </w:rPr>
        <w:t>组建务工就业工作专班，压实主体责任。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长：屈军军    乡村振兴办公室主任</w:t>
      </w:r>
    </w:p>
    <w:p>
      <w:pPr>
        <w:pStyle w:val="2"/>
        <w:ind w:left="0" w:leftChars="0" w:firstLine="1920" w:firstLineChars="600"/>
        <w:rPr>
          <w:rFonts w:hint="default"/>
          <w:lang w:val="en-US" w:eastAsia="zh-CN"/>
        </w:rPr>
      </w:pPr>
      <w:r>
        <w:rPr>
          <w:rFonts w:hint="eastAsia" w:ascii="仿宋_GB2312" w:hAnsi="仿宋_GB2312" w:eastAsia="仿宋_GB2312" w:cs="仿宋_GB2312"/>
          <w:sz w:val="32"/>
          <w:szCs w:val="32"/>
          <w:lang w:val="en-US" w:eastAsia="zh-CN"/>
        </w:rPr>
        <w:t>贺  婷    副乡长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副组长：李学顺    党委副书记</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郭艳华    组宣员</w:t>
      </w:r>
    </w:p>
    <w:p>
      <w:pPr>
        <w:pStyle w:val="11"/>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李显峰    副乡长</w:t>
      </w:r>
    </w:p>
    <w:p>
      <w:pPr>
        <w:pStyle w:val="7"/>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高海军    退役军人服务站站长</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白志伟    副乡长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员：任碧珠    乡村振兴办干事</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琦    劳保站干事</w:t>
      </w:r>
    </w:p>
    <w:p>
      <w:pPr>
        <w:pStyle w:val="11"/>
        <w:ind w:firstLine="1920" w:firstLineChars="6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15村党支部书记、村委主任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(二)强化工作调度。</w:t>
      </w:r>
      <w:r>
        <w:rPr>
          <w:rFonts w:hint="eastAsia" w:ascii="仿宋_GB2312" w:hAnsi="仿宋_GB2312" w:eastAsia="仿宋_GB2312" w:cs="仿宋_GB2312"/>
          <w:sz w:val="32"/>
          <w:szCs w:val="32"/>
          <w:lang w:val="en-US" w:eastAsia="zh-CN"/>
        </w:rPr>
        <w:t>由乡村振兴办公室配合就业服务站每月调度务工就业进展情况、存在问题，及时掌握工作进度，协调解决困难问题。</w:t>
      </w:r>
    </w:p>
    <w:p>
      <w:pPr>
        <w:pStyle w:val="2"/>
        <w:ind w:left="0" w:leftChars="0" w:firstLine="640" w:firstLineChars="200"/>
        <w:rPr>
          <w:rFonts w:hint="default"/>
          <w:lang w:val="en-US" w:eastAsia="zh-CN"/>
        </w:rPr>
      </w:pPr>
      <w:r>
        <w:rPr>
          <w:rFonts w:hint="eastAsia" w:ascii="仿宋_GB2312" w:hAnsi="仿宋_GB2312" w:eastAsia="仿宋_GB2312" w:cs="仿宋_GB2312"/>
          <w:b w:val="0"/>
          <w:kern w:val="2"/>
          <w:sz w:val="32"/>
          <w:szCs w:val="32"/>
          <w:lang w:val="en-US" w:eastAsia="zh-CN" w:bidi="ar-SA"/>
        </w:rPr>
        <w:t>联络员：</w:t>
      </w:r>
      <w:r>
        <w:rPr>
          <w:rFonts w:hint="eastAsia" w:ascii="仿宋_GB2312" w:hAnsi="仿宋_GB2312" w:eastAsia="仿宋_GB2312" w:cs="仿宋_GB2312"/>
          <w:sz w:val="32"/>
          <w:szCs w:val="32"/>
          <w:lang w:val="en-US" w:eastAsia="zh-CN"/>
        </w:rPr>
        <w:t>任碧珠  17835412492</w:t>
      </w:r>
    </w:p>
    <w:p>
      <w:pPr>
        <w:pStyle w:val="11"/>
        <w:ind w:firstLine="640" w:firstLineChars="200"/>
        <w:rPr>
          <w:rFonts w:hint="default" w:ascii="仿宋_GB2312" w:hAnsi="仿宋_GB2312" w:eastAsia="仿宋_GB2312" w:cs="仿宋_GB2312"/>
          <w:b w:val="0"/>
          <w:kern w:val="2"/>
          <w:sz w:val="32"/>
          <w:szCs w:val="32"/>
          <w:lang w:val="en-US" w:eastAsia="zh-CN" w:bidi="ar-SA"/>
        </w:rPr>
      </w:pPr>
    </w:p>
    <w:p>
      <w:pPr>
        <w:pStyle w:val="7"/>
        <w:rPr>
          <w:rFonts w:hint="default" w:ascii="仿宋_GB2312" w:hAnsi="仿宋_GB2312" w:eastAsia="仿宋_GB2312" w:cs="仿宋_GB2312"/>
          <w:b w:val="0"/>
          <w:kern w:val="2"/>
          <w:sz w:val="32"/>
          <w:szCs w:val="32"/>
          <w:lang w:val="en-US" w:eastAsia="zh-CN" w:bidi="ar-SA"/>
        </w:rPr>
      </w:pPr>
    </w:p>
    <w:p>
      <w:pPr>
        <w:rPr>
          <w:rFonts w:hint="default" w:ascii="仿宋_GB2312" w:hAnsi="仿宋_GB2312" w:eastAsia="仿宋_GB2312" w:cs="仿宋_GB2312"/>
          <w:b w:val="0"/>
          <w:kern w:val="2"/>
          <w:sz w:val="32"/>
          <w:szCs w:val="32"/>
          <w:lang w:val="en-US" w:eastAsia="zh-CN" w:bidi="ar-SA"/>
        </w:rPr>
      </w:pPr>
    </w:p>
    <w:p>
      <w:pPr>
        <w:pStyle w:val="11"/>
        <w:rPr>
          <w:rFonts w:hint="default" w:ascii="仿宋_GB2312" w:hAnsi="仿宋_GB2312" w:eastAsia="仿宋_GB2312" w:cs="仿宋_GB2312"/>
          <w:b w:val="0"/>
          <w:kern w:val="2"/>
          <w:sz w:val="32"/>
          <w:szCs w:val="32"/>
          <w:lang w:val="en-US" w:eastAsia="zh-CN" w:bidi="ar-SA"/>
        </w:rPr>
      </w:pPr>
    </w:p>
    <w:p>
      <w:pPr>
        <w:pStyle w:val="7"/>
        <w:rPr>
          <w:rFonts w:hint="default"/>
          <w:lang w:val="en-US" w:eastAsia="zh-CN"/>
        </w:rPr>
      </w:pPr>
    </w:p>
    <w:p>
      <w:pPr>
        <w:rPr>
          <w:rFonts w:hint="default"/>
          <w:lang w:val="en-US" w:eastAsia="zh-CN"/>
        </w:rPr>
      </w:pPr>
    </w:p>
    <w:p>
      <w:pPr>
        <w:pStyle w:val="8"/>
        <w:rPr>
          <w:rFonts w:hint="default"/>
          <w:lang w:val="en-US" w:eastAsia="zh-CN"/>
        </w:rPr>
      </w:pPr>
    </w:p>
    <w:p>
      <w:pPr>
        <w:pStyle w:val="3"/>
        <w:rPr>
          <w:rFonts w:hint="default"/>
          <w:lang w:val="en-US" w:eastAsia="zh-CN"/>
        </w:rPr>
      </w:pPr>
    </w:p>
    <w:p>
      <w:pPr>
        <w:rPr>
          <w:rFonts w:hint="default"/>
          <w:lang w:val="en-US" w:eastAsia="zh-CN"/>
        </w:rPr>
      </w:pPr>
    </w:p>
    <w:p>
      <w:pPr>
        <w:pStyle w:val="11"/>
        <w:rPr>
          <w:rFonts w:hint="default"/>
          <w:lang w:val="en-US" w:eastAsia="zh-CN"/>
        </w:rPr>
      </w:pPr>
    </w:p>
    <w:p>
      <w:pPr>
        <w:pStyle w:val="7"/>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85F05"/>
    <w:rsid w:val="5B38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1"/>
    <w:qFormat/>
    <w:uiPriority w:val="0"/>
    <w:pPr>
      <w:ind w:firstLine="420"/>
    </w:pPr>
  </w:style>
  <w:style w:type="paragraph" w:styleId="4">
    <w:name w:val="Body Text"/>
    <w:basedOn w:val="1"/>
    <w:next w:val="5"/>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5">
    <w:name w:val="Body Text First Indent 2"/>
    <w:basedOn w:val="6"/>
    <w:unhideWhenUsed/>
    <w:qFormat/>
    <w:uiPriority w:val="99"/>
    <w:pPr>
      <w:ind w:firstLine="420" w:firstLineChars="200"/>
    </w:pPr>
  </w:style>
  <w:style w:type="paragraph" w:styleId="6">
    <w:name w:val="Body Text Indent"/>
    <w:basedOn w:val="1"/>
    <w:unhideWhenUsed/>
    <w:qFormat/>
    <w:uiPriority w:val="99"/>
    <w:pPr>
      <w:spacing w:after="120"/>
      <w:ind w:left="420" w:leftChars="200"/>
    </w:pPr>
  </w:style>
  <w:style w:type="paragraph" w:styleId="7">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styleId="8">
    <w:name w:val="Body Text First Indent"/>
    <w:basedOn w:val="4"/>
    <w:next w:val="3"/>
    <w:unhideWhenUsed/>
    <w:qFormat/>
    <w:uiPriority w:val="99"/>
    <w:pPr>
      <w:ind w:firstLine="420" w:firstLineChars="100"/>
    </w:pPr>
  </w:style>
  <w:style w:type="paragraph" w:customStyle="1" w:styleId="11">
    <w:name w:val="标题 Char Char"/>
    <w:basedOn w:val="1"/>
    <w:next w:val="7"/>
    <w:qFormat/>
    <w:uiPriority w:val="0"/>
    <w:pPr>
      <w:outlineLvl w:val="0"/>
    </w:pPr>
    <w:rPr>
      <w:rFonts w:ascii="楷体_GB2312" w:hAnsi="Arial" w:eastAsia="楷体_GB2312"/>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2023-12-24T04:05:00Z</dcterms:created>
  <dc:creator>Administrator</dc:creator>
  <cp:lastModifiedBy>Administrator</cp:lastModifiedBy>
  <dcterms:modified xsi:type="dcterms:W3CDTF">2023-12-24T04:07:39Z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77A9BE05E3A04BE5BFDE1A4A08C613CE</vt:lpwstr>
  </property>
</Properties>
</file>