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outlineLvl w:val="9"/>
        <w:rPr>
          <w:rFonts w:hint="eastAsia" w:ascii="黑体" w:hAnsi="黑体" w:eastAsia="黑体" w:cs="黑体"/>
          <w:b/>
          <w:bCs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20"/>
          <w:sz w:val="32"/>
          <w:szCs w:val="32"/>
          <w:lang w:val="en-US" w:eastAsia="zh-CN"/>
        </w:rPr>
        <w:t>附件1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全县易燃可燃夹芯材料彩钢板建筑消防安全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综合整治工作领导小组成员名单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firstLine="880" w:firstLineChars="200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县政府成立全县</w:t>
      </w:r>
      <w:r>
        <w:rPr>
          <w:rFonts w:hint="eastAsia" w:ascii="仿宋_GB2312" w:hAnsi="仿宋_GB2312" w:eastAsia="仿宋_GB2312" w:cs="仿宋_GB2312"/>
          <w:sz w:val="32"/>
          <w:szCs w:val="32"/>
        </w:rPr>
        <w:t>易燃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可燃</w:t>
      </w:r>
      <w:r>
        <w:rPr>
          <w:rFonts w:hint="eastAsia" w:ascii="仿宋_GB2312" w:hAnsi="仿宋_GB2312" w:eastAsia="仿宋_GB2312" w:cs="仿宋_GB2312"/>
          <w:sz w:val="32"/>
          <w:szCs w:val="32"/>
        </w:rPr>
        <w:t>夹芯材料彩钢板建筑消防安全综合整治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工作领导小组：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  飚  县政府副县长，公安局局长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李杰峰  县政府办主任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firstLine="1920" w:firstLineChars="600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高永胜  县应急管理局局长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firstLine="1920" w:firstLineChars="6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高文标  县</w:t>
      </w:r>
      <w:r>
        <w:rPr>
          <w:rFonts w:hint="eastAsia" w:ascii="仿宋_GB2312" w:hAnsi="仿宋_GB2312" w:eastAsia="仿宋_GB2312" w:cs="仿宋_GB2312"/>
          <w:sz w:val="32"/>
          <w:szCs w:val="32"/>
        </w:rPr>
        <w:t>住房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城乡建设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firstLine="1920" w:firstLineChars="6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薛利国  县消防救援大队大队长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70" w:lineRule="exact"/>
        <w:textAlignment w:val="auto"/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薛孝泽  县行政审批服务管理局局长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70" w:lineRule="exact"/>
        <w:ind w:firstLine="1920" w:firstLineChars="600"/>
        <w:textAlignment w:val="auto"/>
        <w:rPr>
          <w:rFonts w:hint="eastAsia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陈国民  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科技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局局长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70" w:lineRule="exact"/>
        <w:ind w:firstLine="1920" w:firstLineChars="600"/>
        <w:textAlignment w:val="auto"/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薛银贵  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民政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张恩富  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交通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运输局局长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王犁青  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水利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张文全  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农业农村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刘卫平  县文化和旅游局局长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闫福平  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业和信息化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高恩奎  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卫生健康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和体育局局长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刘建平  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退役军人事务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苗焰银  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监督管理局局长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李廷江  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能源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张小兰  县委统战部副部长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张桂平  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司法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孙有玉  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自然资源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局局长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7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贺建平  县机关事务服务中心主任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7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薛平平  县城乡管理中心主任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领导组下设办公室，办公室设在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消防救援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队，具体负责承办协调领导组的日常工作，办公室主任由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县消防救援大队大队长薛利国担任。各乡镇、相关行业部门也要成立相应组织领导机构，全力推动此项工作。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drawing>
          <wp:anchor distT="0" distB="0" distL="114935" distR="114935" simplePos="0" relativeHeight="527360" behindDoc="0" locked="0" layoutInCell="1" allowOverlap="1">
            <wp:simplePos x="0" y="0"/>
            <wp:positionH relativeFrom="column">
              <wp:posOffset>794385</wp:posOffset>
            </wp:positionH>
            <wp:positionV relativeFrom="paragraph">
              <wp:posOffset>-88265</wp:posOffset>
            </wp:positionV>
            <wp:extent cx="4445635" cy="8096250"/>
            <wp:effectExtent l="0" t="0" r="12065" b="0"/>
            <wp:wrapSquare wrapText="bothSides"/>
            <wp:docPr id="16" name="图片 16" descr="文字文稿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文字文稿2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5635" cy="809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526336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158750</wp:posOffset>
                </wp:positionV>
                <wp:extent cx="464185" cy="1059815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11530" y="8159750"/>
                          <a:ext cx="464185" cy="1059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570" w:lineRule="exact"/>
                              <w:jc w:val="both"/>
                              <w:outlineLvl w:val="9"/>
                              <w:rPr>
                                <w:rFonts w:hint="eastAsia" w:ascii="黑体" w:hAnsi="黑体" w:eastAsia="黑体" w:cs="黑体"/>
                                <w:spacing w:val="-2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pacing w:val="-20"/>
                                <w:sz w:val="32"/>
                                <w:szCs w:val="32"/>
                                <w:lang w:val="en-US" w:eastAsia="zh-CN"/>
                              </w:rPr>
                              <w:t>附件2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570" w:lineRule="exact"/>
                              <w:jc w:val="both"/>
                              <w:outlineLvl w:val="9"/>
                              <w:rPr>
                                <w:rFonts w:hint="eastAsia" w:ascii="方正小标宋_GBK" w:hAnsi="方正小标宋_GBK" w:eastAsia="方正小标宋_GBK" w:cs="方正小标宋_GBK"/>
                                <w:spacing w:val="-28"/>
                                <w:w w:val="90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pacing w:val="-11"/>
                                <w:w w:val="90"/>
                                <w:sz w:val="44"/>
                                <w:szCs w:val="44"/>
                                <w:u w:val="single"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pacing w:val="-11"/>
                                <w:w w:val="90"/>
                                <w:sz w:val="44"/>
                                <w:szCs w:val="44"/>
                                <w:lang w:val="en-US" w:eastAsia="zh-CN"/>
                              </w:rPr>
                              <w:t>乡（镇）、部门易燃可燃夹芯材料彩钢板建筑消防安全综合整治排查明细表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00" w:lineRule="exact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楷体_GB2312" w:hAnsi="楷体_GB2312" w:eastAsia="楷体_GB2312" w:cs="楷体_GB2312"/>
                                <w:b w:val="0"/>
                                <w:bCs w:val="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570" w:lineRule="exact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 w:val="0"/>
                                <w:bCs w:val="0"/>
                                <w:sz w:val="32"/>
                                <w:szCs w:val="32"/>
                                <w:lang w:val="en-US" w:eastAsia="zh-CN"/>
                              </w:rPr>
                              <w:t>填报单位（公章）：                   填报人：                     审批人：</w:t>
                            </w:r>
                          </w:p>
                          <w:p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color w:val="000000"/>
                                <w:kern w:val="0"/>
                                <w:sz w:val="24"/>
                                <w:szCs w:val="24"/>
                                <w:u w:val="none"/>
                                <w:lang w:val="en-US" w:eastAsia="zh-CN" w:bidi="ar"/>
                              </w:rPr>
                              <w:t>注：各乡镇政府、各部门每日下午5时前上报此表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55pt;margin-top:12.5pt;height:83.45pt;width:36.55pt;z-index:526336;mso-width-relative:page;mso-height-relative:page;" filled="f" stroked="f" coordsize="21600,21600" o:gfxdata="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Y5E3z2AAAAAkBAAAPAAAAAAAAAAEAIAAA&#10;ACIAAABkcnMvZG93bnJldi54bWxQSwECFAAUAAAACACHTuJA2LmtZkUCAAB2BAAADgAAAAAAAAAB&#10;ACAAAAAn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 style="layout-flow:vertical;mso-layout-flow-alt:bottom-to-top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570" w:lineRule="exact"/>
                        <w:jc w:val="both"/>
                        <w:outlineLvl w:val="9"/>
                        <w:rPr>
                          <w:rFonts w:hint="eastAsia" w:ascii="黑体" w:hAnsi="黑体" w:eastAsia="黑体" w:cs="黑体"/>
                          <w:spacing w:val="-20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pacing w:val="-20"/>
                          <w:sz w:val="32"/>
                          <w:szCs w:val="32"/>
                          <w:lang w:val="en-US" w:eastAsia="zh-CN"/>
                        </w:rPr>
                        <w:t>附件2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570" w:lineRule="exact"/>
                        <w:jc w:val="both"/>
                        <w:outlineLvl w:val="9"/>
                        <w:rPr>
                          <w:rFonts w:hint="eastAsia" w:ascii="方正小标宋_GBK" w:hAnsi="方正小标宋_GBK" w:eastAsia="方正小标宋_GBK" w:cs="方正小标宋_GBK"/>
                          <w:spacing w:val="-28"/>
                          <w:w w:val="90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spacing w:val="-11"/>
                          <w:w w:val="90"/>
                          <w:sz w:val="44"/>
                          <w:szCs w:val="44"/>
                          <w:u w:val="single"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spacing w:val="-11"/>
                          <w:w w:val="90"/>
                          <w:sz w:val="44"/>
                          <w:szCs w:val="44"/>
                          <w:lang w:val="en-US" w:eastAsia="zh-CN"/>
                        </w:rPr>
                        <w:t>乡（镇）、部门易燃可燃夹芯材料彩钢板建筑消防安全综合整治排查明细表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00" w:lineRule="exact"/>
                        <w:jc w:val="left"/>
                        <w:textAlignment w:val="auto"/>
                        <w:outlineLvl w:val="9"/>
                        <w:rPr>
                          <w:rFonts w:hint="eastAsia" w:ascii="楷体_GB2312" w:hAnsi="楷体_GB2312" w:eastAsia="楷体_GB2312" w:cs="楷体_GB2312"/>
                          <w:b w:val="0"/>
                          <w:bCs w:val="0"/>
                          <w:sz w:val="32"/>
                          <w:szCs w:val="32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570" w:lineRule="exact"/>
                        <w:jc w:val="left"/>
                        <w:textAlignment w:val="auto"/>
                        <w:outlineLvl w:val="9"/>
                        <w:rPr>
                          <w:rFonts w:hint="eastAsia" w:ascii="方正仿宋_GBK" w:hAnsi="方正仿宋_GBK" w:eastAsia="方正仿宋_GBK" w:cs="方正仿宋_GBK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b w:val="0"/>
                          <w:bCs w:val="0"/>
                          <w:sz w:val="32"/>
                          <w:szCs w:val="32"/>
                          <w:lang w:val="en-US" w:eastAsia="zh-CN"/>
                        </w:rPr>
                        <w:t>填报单位（公章）：                   填报人：                     审批人：</w:t>
                      </w:r>
                    </w:p>
                    <w:p>
                      <w:r>
                        <w:rPr>
                          <w:rFonts w:hint="eastAsia" w:ascii="仿宋_GB2312" w:hAnsi="仿宋_GB2312" w:eastAsia="仿宋_GB2312" w:cs="仿宋_GB2312"/>
                          <w:i w:val="0"/>
                          <w:color w:val="000000"/>
                          <w:kern w:val="0"/>
                          <w:sz w:val="24"/>
                          <w:szCs w:val="24"/>
                          <w:u w:val="none"/>
                          <w:lang w:val="en-US" w:eastAsia="zh-CN" w:bidi="ar"/>
                        </w:rPr>
                        <w:t>注：各乡镇政府、各部门每日下午5时前上报此表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jc w:val="left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附件3 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u w:val="single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乡（镇）、部门易燃可燃夹芯材料彩钢板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建筑消防安全综合整治情况汇总表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outlineLvl w:val="9"/>
        <w:rPr>
          <w:rFonts w:hint="default" w:ascii="方正仿宋_GBK" w:hAnsi="方正仿宋_GBK" w:eastAsia="方正仿宋_GBK" w:cs="方正仿宋_GBK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24"/>
          <w:szCs w:val="24"/>
          <w:lang w:val="en-US" w:eastAsia="zh-CN"/>
        </w:rPr>
        <w:t>审核人：      填报人：     联系电话：        填报时间：  年  月  日至  月  日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3782"/>
        <w:gridCol w:w="33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  <w:jc w:val="center"/>
        </w:trPr>
        <w:tc>
          <w:tcPr>
            <w:tcW w:w="160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  <w:t>组织情况</w:t>
            </w:r>
          </w:p>
        </w:tc>
        <w:tc>
          <w:tcPr>
            <w:tcW w:w="37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  <w:t>成立检查组（个）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  <w:jc w:val="center"/>
        </w:trPr>
        <w:tc>
          <w:tcPr>
            <w:tcW w:w="16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  <w:t>出动人力（人）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  <w:jc w:val="center"/>
        </w:trPr>
        <w:tc>
          <w:tcPr>
            <w:tcW w:w="16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  <w:t>发布社会公告（份）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  <w:jc w:val="center"/>
        </w:trPr>
        <w:tc>
          <w:tcPr>
            <w:tcW w:w="160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  <w:t>检查情况</w:t>
            </w:r>
          </w:p>
        </w:tc>
        <w:tc>
          <w:tcPr>
            <w:tcW w:w="37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  <w:t>彩钢板建筑使用场所（个）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  <w:jc w:val="center"/>
        </w:trPr>
        <w:tc>
          <w:tcPr>
            <w:tcW w:w="16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  <w:t>彩钢板建筑面积（平方米）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  <w:jc w:val="center"/>
        </w:trPr>
        <w:tc>
          <w:tcPr>
            <w:tcW w:w="16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  <w:t>发现隐患（处）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  <w:jc w:val="center"/>
        </w:trPr>
        <w:tc>
          <w:tcPr>
            <w:tcW w:w="160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  <w:t>整治情况</w:t>
            </w:r>
          </w:p>
        </w:tc>
        <w:tc>
          <w:tcPr>
            <w:tcW w:w="37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  <w:t>整改隐患（处）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  <w:jc w:val="center"/>
        </w:trPr>
        <w:tc>
          <w:tcPr>
            <w:tcW w:w="16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  <w:t>罚款（元）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  <w:jc w:val="center"/>
        </w:trPr>
        <w:tc>
          <w:tcPr>
            <w:tcW w:w="16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  <w:t>责令停止使用、停产停业（家）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  <w:jc w:val="center"/>
        </w:trPr>
        <w:tc>
          <w:tcPr>
            <w:tcW w:w="16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  <w:t>暂扣或者吊销证照（个）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  <w:jc w:val="center"/>
        </w:trPr>
        <w:tc>
          <w:tcPr>
            <w:tcW w:w="16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  <w:t>临时查封（家）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  <w:jc w:val="center"/>
        </w:trPr>
        <w:tc>
          <w:tcPr>
            <w:tcW w:w="16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  <w:t>取缔（家）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  <w:jc w:val="center"/>
        </w:trPr>
        <w:tc>
          <w:tcPr>
            <w:tcW w:w="16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  <w:t>强制执行（家）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  <w:jc w:val="center"/>
        </w:trPr>
        <w:tc>
          <w:tcPr>
            <w:tcW w:w="16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  <w:t>拆除违章彩钢板建筑（平方米）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  <w:jc w:val="center"/>
        </w:trPr>
        <w:tc>
          <w:tcPr>
            <w:tcW w:w="16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  <w:t>搬迁、更换员工宿舍（个）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  <w:jc w:val="center"/>
        </w:trPr>
        <w:tc>
          <w:tcPr>
            <w:tcW w:w="16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  <w:t>挂牌督办重大隐患（家、处）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  <w:jc w:val="center"/>
        </w:trPr>
        <w:tc>
          <w:tcPr>
            <w:tcW w:w="160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  <w:t>宣传情况</w:t>
            </w:r>
          </w:p>
        </w:tc>
        <w:tc>
          <w:tcPr>
            <w:tcW w:w="37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  <w:t>组织培训（人次）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  <w:jc w:val="center"/>
        </w:trPr>
        <w:tc>
          <w:tcPr>
            <w:tcW w:w="1607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  <w:t>组织演练（次）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607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  <w:t>曝光企业（家）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160" w:firstLineChars="1300"/>
        <w:jc w:val="both"/>
        <w:textAlignment w:val="auto"/>
        <w:rPr>
          <w:rStyle w:val="8"/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sectPr>
          <w:pgSz w:w="11907" w:h="16840"/>
          <w:pgMar w:top="2098" w:right="1474" w:bottom="1984" w:left="1587" w:header="851" w:footer="1417" w:gutter="0"/>
          <w:lnNumType w:countBy="0"/>
          <w:pgNumType w:fmt="numberInDash" w:start="2"/>
          <w:cols w:space="0" w:num="1"/>
          <w:rtlGutter w:val="0"/>
          <w:vAlign w:val="top"/>
          <w:docGrid w:type="lines" w:linePitch="312" w:charSpace="0"/>
        </w:sectPr>
      </w:pPr>
    </w:p>
    <w:p/>
    <w:sectPr>
      <w:footerReference r:id="rId3" w:type="default"/>
      <w:footerReference r:id="rId4" w:type="even"/>
      <w:pgSz w:w="11907" w:h="16840"/>
      <w:pgMar w:top="2098" w:right="1474" w:bottom="1984" w:left="1587" w:header="851" w:footer="1417" w:gutter="0"/>
      <w:lnNumType w:countBy="0"/>
      <w:pgNumType w:fmt="numberInDash" w:start="1"/>
      <w:cols w:space="0" w:num="1"/>
      <w:rtlGutter w:val="0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Style w:val="8"/>
        <w:rFonts w:ascii="Calibri" w:hAnsi="Calibri" w:eastAsia="宋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524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z-index:524288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Fmk9kDS&#10;AAAABQEAAA8AAAAAAAAAAQAgAAAAIgAAAGRycy9kb3ducmV2LnhtbFBLAQIUABQAAAAIAIdO4kCw&#10;j6R1tAEAAHMDAAAOAAAAAAAAAAEAIAAAACE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542DC"/>
    <w:rsid w:val="030B357B"/>
    <w:rsid w:val="04274B46"/>
    <w:rsid w:val="068E54A9"/>
    <w:rsid w:val="08144726"/>
    <w:rsid w:val="09012FCF"/>
    <w:rsid w:val="09014762"/>
    <w:rsid w:val="0B3F0EE2"/>
    <w:rsid w:val="0C245801"/>
    <w:rsid w:val="0D560321"/>
    <w:rsid w:val="0D8E1284"/>
    <w:rsid w:val="0D8F5595"/>
    <w:rsid w:val="0E5A54D1"/>
    <w:rsid w:val="0EF86B82"/>
    <w:rsid w:val="0FF5325E"/>
    <w:rsid w:val="11C948AB"/>
    <w:rsid w:val="122018B4"/>
    <w:rsid w:val="151C4753"/>
    <w:rsid w:val="16762309"/>
    <w:rsid w:val="174E0520"/>
    <w:rsid w:val="17D05356"/>
    <w:rsid w:val="18CA080D"/>
    <w:rsid w:val="18D542DC"/>
    <w:rsid w:val="18DC103D"/>
    <w:rsid w:val="18F10F8C"/>
    <w:rsid w:val="1C7125F6"/>
    <w:rsid w:val="1D1767B6"/>
    <w:rsid w:val="1D524A51"/>
    <w:rsid w:val="20555D7E"/>
    <w:rsid w:val="235A003B"/>
    <w:rsid w:val="24BC1979"/>
    <w:rsid w:val="24C83DA2"/>
    <w:rsid w:val="25084EDE"/>
    <w:rsid w:val="25393AD7"/>
    <w:rsid w:val="286E6FCF"/>
    <w:rsid w:val="297558F1"/>
    <w:rsid w:val="2B4C0CE7"/>
    <w:rsid w:val="2B8F6B4C"/>
    <w:rsid w:val="2C5E0D8C"/>
    <w:rsid w:val="31620709"/>
    <w:rsid w:val="31D649DF"/>
    <w:rsid w:val="33575212"/>
    <w:rsid w:val="34C1591A"/>
    <w:rsid w:val="36E7153E"/>
    <w:rsid w:val="378A2D35"/>
    <w:rsid w:val="39C54DEE"/>
    <w:rsid w:val="3D46010D"/>
    <w:rsid w:val="3E13585A"/>
    <w:rsid w:val="41101199"/>
    <w:rsid w:val="41F70A86"/>
    <w:rsid w:val="439C502E"/>
    <w:rsid w:val="451302DB"/>
    <w:rsid w:val="45162D35"/>
    <w:rsid w:val="47C17CA5"/>
    <w:rsid w:val="48BF2F8B"/>
    <w:rsid w:val="48C32CE6"/>
    <w:rsid w:val="48DA1D44"/>
    <w:rsid w:val="499C2CF3"/>
    <w:rsid w:val="4A2F21E4"/>
    <w:rsid w:val="4C280FCA"/>
    <w:rsid w:val="4E2502B4"/>
    <w:rsid w:val="4EDC3D81"/>
    <w:rsid w:val="4F8460D4"/>
    <w:rsid w:val="51AE5D1D"/>
    <w:rsid w:val="523E752B"/>
    <w:rsid w:val="53F5151F"/>
    <w:rsid w:val="53F8323D"/>
    <w:rsid w:val="56265DBF"/>
    <w:rsid w:val="573121B6"/>
    <w:rsid w:val="5801565C"/>
    <w:rsid w:val="589E2A10"/>
    <w:rsid w:val="5B60307A"/>
    <w:rsid w:val="5B9C5878"/>
    <w:rsid w:val="5D7F1594"/>
    <w:rsid w:val="5FCE7BB4"/>
    <w:rsid w:val="5FE52E69"/>
    <w:rsid w:val="62A30FD9"/>
    <w:rsid w:val="632865B2"/>
    <w:rsid w:val="66BD0007"/>
    <w:rsid w:val="680C15EA"/>
    <w:rsid w:val="690B62DD"/>
    <w:rsid w:val="69DC37F6"/>
    <w:rsid w:val="6A8E6854"/>
    <w:rsid w:val="6AF9427A"/>
    <w:rsid w:val="6DB6337C"/>
    <w:rsid w:val="6E653123"/>
    <w:rsid w:val="6EB86DEB"/>
    <w:rsid w:val="6F4411C2"/>
    <w:rsid w:val="72352A9E"/>
    <w:rsid w:val="782838D2"/>
    <w:rsid w:val="782D3E19"/>
    <w:rsid w:val="783E5F36"/>
    <w:rsid w:val="78D55FFA"/>
    <w:rsid w:val="79992D1D"/>
    <w:rsid w:val="7A8B0A13"/>
    <w:rsid w:val="7E96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8"/>
    <w:qFormat/>
    <w:uiPriority w:val="0"/>
    <w:pPr>
      <w:spacing w:line="240" w:lineRule="auto"/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NormalCharacter"/>
    <w:link w:val="1"/>
    <w:qFormat/>
    <w:uiPriority w:val="0"/>
    <w:rPr>
      <w:rFonts w:ascii="Calibri" w:hAnsi="Calibri" w:eastAsia="宋体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2020-11-30T07:13:00Z</dcterms:created>
  <dc:creator>跃东印刷厂</dc:creator>
  <cp:lastModifiedBy>阿九</cp:lastModifiedBy>
  <cp:lastPrinted>2020-11-30T08:07:00Z</cp:lastPrinted>
  <dcterms:modified xsi:type="dcterms:W3CDTF">2021-01-05T01:33:08Z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