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540" w:lineRule="atLeast"/>
        <w:jc w:val="left"/>
        <w:outlineLvl w:val="1"/>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附件2</w:t>
      </w:r>
    </w:p>
    <w:p>
      <w:pPr>
        <w:pStyle w:val="4"/>
        <w:widowControl/>
        <w:spacing w:line="540" w:lineRule="atLeast"/>
        <w:jc w:val="left"/>
        <w:outlineLvl w:val="1"/>
        <w:rPr>
          <w:rFonts w:hint="eastAsia" w:ascii="黑体" w:hAnsi="黑体" w:eastAsia="黑体" w:cs="黑体"/>
          <w:b w:val="0"/>
          <w:bCs/>
          <w:sz w:val="32"/>
          <w:szCs w:val="32"/>
          <w:shd w:val="clear" w:color="auto" w:fill="FFFFFF"/>
        </w:rPr>
      </w:pPr>
    </w:p>
    <w:p>
      <w:pPr>
        <w:pStyle w:val="4"/>
        <w:widowControl/>
        <w:spacing w:line="540" w:lineRule="atLeast"/>
        <w:jc w:val="center"/>
        <w:outlineLvl w:val="1"/>
        <w:rPr>
          <w:rFonts w:hint="eastAsia" w:ascii="方正小标宋简体" w:hAnsi="方正小标宋简体" w:eastAsia="方正小标宋简体" w:cs="方正小标宋简体"/>
          <w:b w:val="0"/>
          <w:bCs/>
          <w:sz w:val="44"/>
          <w:szCs w:val="44"/>
          <w:shd w:val="clear" w:color="auto" w:fill="FFFFFF"/>
        </w:rPr>
      </w:pPr>
      <w:bookmarkStart w:id="0" w:name="_Toc107585862"/>
      <w:r>
        <w:rPr>
          <w:rFonts w:hint="eastAsia" w:ascii="方正小标宋简体" w:hAnsi="方正小标宋简体" w:eastAsia="方正小标宋简体" w:cs="方正小标宋简体"/>
          <w:b w:val="0"/>
          <w:bCs/>
          <w:sz w:val="44"/>
          <w:szCs w:val="44"/>
          <w:shd w:val="clear" w:color="auto" w:fill="FFFFFF"/>
        </w:rPr>
        <w:t>临县辐射事故应急现场指挥部及其办公室、成员单位职责</w:t>
      </w:r>
      <w:bookmarkEnd w:id="0"/>
    </w:p>
    <w:tbl>
      <w:tblPr>
        <w:tblStyle w:val="6"/>
        <w:tblW w:w="1331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35"/>
        <w:gridCol w:w="2533"/>
        <w:gridCol w:w="964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3668" w:type="dxa"/>
            <w:gridSpan w:val="2"/>
            <w:noWrap w:val="0"/>
            <w:vAlign w:val="center"/>
          </w:tcPr>
          <w:p>
            <w:pPr>
              <w:jc w:val="center"/>
              <w:rPr>
                <w:rFonts w:hint="eastAsia" w:ascii="仿宋_GB2312" w:hAnsi="仿宋_GB2312" w:eastAsia="仿宋_GB2312" w:cs="仿宋_GB2312"/>
                <w:b/>
                <w:sz w:val="23"/>
                <w:szCs w:val="23"/>
                <w:shd w:val="clear" w:color="auto" w:fill="FFFFFF"/>
                <w:lang w:bidi="ar"/>
              </w:rPr>
            </w:pPr>
            <w:r>
              <w:rPr>
                <w:rFonts w:hint="eastAsia" w:ascii="仿宋_GB2312" w:hAnsi="仿宋_GB2312" w:eastAsia="仿宋_GB2312" w:cs="仿宋_GB2312"/>
                <w:b/>
                <w:sz w:val="23"/>
                <w:szCs w:val="23"/>
                <w:shd w:val="clear" w:color="auto" w:fill="FFFFFF"/>
                <w:lang w:bidi="ar"/>
              </w:rPr>
              <w:t>指挥机构</w:t>
            </w:r>
          </w:p>
        </w:tc>
        <w:tc>
          <w:tcPr>
            <w:tcW w:w="9647" w:type="dxa"/>
            <w:noWrap w:val="0"/>
            <w:vAlign w:val="center"/>
          </w:tcPr>
          <w:p>
            <w:pPr>
              <w:jc w:val="center"/>
              <w:rPr>
                <w:rFonts w:hint="eastAsia" w:ascii="仿宋_GB2312" w:hAnsi="仿宋_GB2312" w:eastAsia="仿宋_GB2312" w:cs="仿宋_GB2312"/>
                <w:b/>
                <w:sz w:val="23"/>
                <w:szCs w:val="23"/>
                <w:shd w:val="clear" w:color="auto" w:fill="FFFFFF"/>
                <w:lang w:bidi="ar"/>
              </w:rPr>
            </w:pPr>
            <w:r>
              <w:rPr>
                <w:rFonts w:hint="eastAsia" w:ascii="仿宋_GB2312" w:hAnsi="仿宋_GB2312" w:eastAsia="仿宋_GB2312" w:cs="仿宋_GB2312"/>
                <w:b/>
                <w:sz w:val="23"/>
                <w:szCs w:val="23"/>
                <w:shd w:val="clear" w:color="auto" w:fill="FFFFFF"/>
                <w:lang w:bidi="ar"/>
              </w:rPr>
              <w:t>职责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87" w:hRule="atLeast"/>
          <w:jc w:val="center"/>
        </w:trPr>
        <w:tc>
          <w:tcPr>
            <w:tcW w:w="1135" w:type="dxa"/>
            <w:noWrap w:val="0"/>
            <w:vAlign w:val="center"/>
          </w:tcPr>
          <w:p>
            <w:pPr>
              <w:jc w:val="center"/>
              <w:rPr>
                <w:rFonts w:hint="eastAsia" w:ascii="仿宋_GB2312" w:hAnsi="仿宋_GB2312" w:eastAsia="仿宋_GB2312" w:cs="仿宋_GB2312"/>
                <w:b/>
                <w:sz w:val="23"/>
                <w:szCs w:val="23"/>
                <w:shd w:val="clear" w:color="auto" w:fill="FFFFFF"/>
                <w:lang w:bidi="ar"/>
              </w:rPr>
            </w:pPr>
            <w:r>
              <w:rPr>
                <w:rFonts w:hint="eastAsia" w:ascii="仿宋_GB2312" w:hAnsi="仿宋_GB2312" w:eastAsia="仿宋_GB2312" w:cs="仿宋_GB2312"/>
                <w:b/>
                <w:sz w:val="23"/>
                <w:szCs w:val="23"/>
                <w:shd w:val="clear" w:color="auto" w:fill="FFFFFF"/>
                <w:lang w:bidi="ar"/>
              </w:rPr>
              <w:t>总指挥</w:t>
            </w:r>
          </w:p>
        </w:tc>
        <w:tc>
          <w:tcPr>
            <w:tcW w:w="2533" w:type="dxa"/>
            <w:noWrap w:val="0"/>
            <w:vAlign w:val="center"/>
          </w:tcPr>
          <w:p>
            <w:pPr>
              <w:jc w:val="center"/>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临县人民政府</w:t>
            </w:r>
          </w:p>
          <w:p>
            <w:pPr>
              <w:jc w:val="center"/>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分管副县长</w:t>
            </w:r>
          </w:p>
        </w:tc>
        <w:tc>
          <w:tcPr>
            <w:tcW w:w="9647" w:type="dxa"/>
            <w:vMerge w:val="restart"/>
            <w:noWrap w:val="0"/>
            <w:vAlign w:val="center"/>
          </w:tcPr>
          <w:p>
            <w:pPr>
              <w:jc w:val="left"/>
              <w:rPr>
                <w:rFonts w:hint="eastAsia" w:ascii="仿宋_GB2312" w:hAnsi="仿宋_GB2312" w:eastAsia="仿宋_GB2312" w:cs="仿宋_GB2312"/>
                <w:b/>
                <w:sz w:val="23"/>
                <w:szCs w:val="23"/>
                <w:shd w:val="clear" w:color="auto" w:fill="FFFFFF"/>
                <w:lang w:bidi="ar"/>
              </w:rPr>
            </w:pPr>
            <w:r>
              <w:rPr>
                <w:rFonts w:hint="eastAsia" w:ascii="仿宋_GB2312" w:hAnsi="仿宋_GB2312" w:eastAsia="仿宋_GB2312" w:cs="仿宋_GB2312"/>
                <w:b/>
                <w:sz w:val="23"/>
                <w:szCs w:val="23"/>
                <w:shd w:val="clear" w:color="auto" w:fill="FFFFFF"/>
                <w:lang w:bidi="ar"/>
              </w:rPr>
              <w:t>县应急指挥部职责：</w:t>
            </w:r>
          </w:p>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（1）执行国家有关法律法规及国家、省、市应急领导机构下达的辐射事故应急指示；</w:t>
            </w:r>
          </w:p>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2）当县域内发生辐射事故后，组织实施应急响应，领导、协调和调动社会力量及各种资源，组织突发辐射事故的应急处理，决定启动或终止应急状态，派出有关成员单位和专家组成的现场救援指挥部，具体组织、安排事故的应急响应和调查；</w:t>
            </w:r>
          </w:p>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（3）统一指导临县行政区域内有关辐射事故的新闻和信息发布、舆情应对工作；</w:t>
            </w:r>
          </w:p>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（4）必要时与相关地市进行联络；</w:t>
            </w:r>
          </w:p>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（5）必要时向吕梁</w:t>
            </w:r>
            <w:r>
              <w:rPr>
                <w:rFonts w:hint="eastAsia" w:ascii="仿宋_GB2312" w:hAnsi="仿宋_GB2312" w:eastAsia="仿宋_GB2312" w:cs="仿宋_GB2312"/>
                <w:sz w:val="23"/>
                <w:szCs w:val="23"/>
                <w:shd w:val="clear" w:color="auto" w:fill="FFFFFF"/>
                <w:lang w:eastAsia="zh-CN" w:bidi="ar"/>
              </w:rPr>
              <w:t>市</w:t>
            </w:r>
            <w:r>
              <w:rPr>
                <w:rFonts w:hint="eastAsia" w:ascii="仿宋_GB2312" w:hAnsi="仿宋_GB2312" w:eastAsia="仿宋_GB2312" w:cs="仿宋_GB2312"/>
                <w:sz w:val="23"/>
                <w:szCs w:val="23"/>
                <w:shd w:val="clear" w:color="auto" w:fill="FFFFFF"/>
                <w:lang w:bidi="ar"/>
              </w:rPr>
              <w:t>政府或吕梁市相关部门申请支援。</w:t>
            </w:r>
          </w:p>
          <w:p>
            <w:pPr>
              <w:jc w:val="left"/>
              <w:rPr>
                <w:rFonts w:hint="eastAsia" w:ascii="仿宋_GB2312" w:hAnsi="仿宋_GB2312" w:eastAsia="仿宋_GB2312" w:cs="仿宋_GB2312"/>
                <w:b/>
                <w:sz w:val="23"/>
                <w:szCs w:val="23"/>
                <w:shd w:val="clear" w:color="auto" w:fill="FFFFFF"/>
                <w:lang w:bidi="ar"/>
              </w:rPr>
            </w:pPr>
            <w:r>
              <w:rPr>
                <w:rFonts w:hint="eastAsia" w:ascii="仿宋_GB2312" w:hAnsi="仿宋_GB2312" w:eastAsia="仿宋_GB2312" w:cs="仿宋_GB2312"/>
                <w:b/>
                <w:sz w:val="23"/>
                <w:szCs w:val="23"/>
                <w:shd w:val="clear" w:color="auto" w:fill="FFFFFF"/>
                <w:lang w:bidi="ar"/>
              </w:rPr>
              <w:t>县应急指挥部办公室职责：</w:t>
            </w:r>
          </w:p>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（1）负责县应急指挥部的日常工作和应急值守；</w:t>
            </w:r>
          </w:p>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（2）负责修订临县辐射事故应急预案；</w:t>
            </w:r>
          </w:p>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（3）根据县应急指挥部的统一部署，具体指导全县的辐射事故应急准备工作；</w:t>
            </w:r>
          </w:p>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（4）贯彻落实县应急指挥部调度指令和工作部署，组织有关部门分析事故原因和变化发展趋势，协调处理辐射事故应急响应工作中的具体问题；</w:t>
            </w:r>
          </w:p>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（5）负责与国家、省、市辐射事故应急组织、县应急</w:t>
            </w:r>
            <w:r>
              <w:rPr>
                <w:rFonts w:hint="eastAsia" w:ascii="仿宋_GB2312" w:hAnsi="仿宋_GB2312" w:eastAsia="仿宋_GB2312" w:cs="仿宋_GB2312"/>
                <w:sz w:val="23"/>
                <w:szCs w:val="23"/>
                <w:shd w:val="clear" w:color="auto" w:fill="FFFFFF"/>
                <w:lang w:eastAsia="zh-CN" w:bidi="ar"/>
              </w:rPr>
              <w:t>局</w:t>
            </w:r>
            <w:r>
              <w:rPr>
                <w:rFonts w:hint="eastAsia" w:ascii="仿宋_GB2312" w:hAnsi="仿宋_GB2312" w:eastAsia="仿宋_GB2312" w:cs="仿宋_GB2312"/>
                <w:sz w:val="23"/>
                <w:szCs w:val="23"/>
                <w:shd w:val="clear" w:color="auto" w:fill="FFFFFF"/>
                <w:lang w:bidi="ar"/>
              </w:rPr>
              <w:t>、专家组及成员单位之间联络工作；</w:t>
            </w:r>
          </w:p>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（6）根据县应急指挥部的部署，指导事故后的恢复工作；</w:t>
            </w:r>
          </w:p>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（7）建立和完善辐射事故信息上报、发布、应急监测体系；</w:t>
            </w:r>
          </w:p>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（8）组织开展监督、检查本县辖区范围内辐射事故应急准备工作；</w:t>
            </w:r>
          </w:p>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（9）按规定要求组织实施辐射事故应急人员培训、教育和有关应急演练及评估等工作；</w:t>
            </w:r>
          </w:p>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（10）完成县应急指挥部交办的其它工作。</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44" w:hRule="atLeast"/>
          <w:jc w:val="center"/>
        </w:trPr>
        <w:tc>
          <w:tcPr>
            <w:tcW w:w="1135" w:type="dxa"/>
            <w:noWrap w:val="0"/>
            <w:vAlign w:val="center"/>
          </w:tcPr>
          <w:p>
            <w:pPr>
              <w:jc w:val="center"/>
              <w:rPr>
                <w:rFonts w:hint="eastAsia" w:ascii="仿宋_GB2312" w:hAnsi="仿宋_GB2312" w:eastAsia="仿宋_GB2312" w:cs="仿宋_GB2312"/>
                <w:b/>
                <w:sz w:val="23"/>
                <w:szCs w:val="23"/>
                <w:shd w:val="clear" w:color="auto" w:fill="FFFFFF"/>
                <w:lang w:bidi="ar"/>
              </w:rPr>
            </w:pPr>
          </w:p>
          <w:p>
            <w:pPr>
              <w:jc w:val="center"/>
              <w:rPr>
                <w:rFonts w:hint="eastAsia" w:ascii="仿宋_GB2312" w:hAnsi="仿宋_GB2312" w:eastAsia="仿宋_GB2312" w:cs="仿宋_GB2312"/>
                <w:b/>
                <w:sz w:val="23"/>
                <w:szCs w:val="23"/>
                <w:shd w:val="clear" w:color="auto" w:fill="FFFFFF"/>
                <w:lang w:bidi="ar"/>
              </w:rPr>
            </w:pPr>
          </w:p>
          <w:p>
            <w:pPr>
              <w:jc w:val="center"/>
              <w:rPr>
                <w:rFonts w:hint="eastAsia" w:ascii="仿宋_GB2312" w:hAnsi="仿宋_GB2312" w:eastAsia="仿宋_GB2312" w:cs="仿宋_GB2312"/>
                <w:b/>
                <w:sz w:val="23"/>
                <w:szCs w:val="23"/>
                <w:shd w:val="clear" w:color="auto" w:fill="FFFFFF"/>
                <w:lang w:bidi="ar"/>
              </w:rPr>
            </w:pPr>
          </w:p>
          <w:p>
            <w:pPr>
              <w:jc w:val="center"/>
              <w:rPr>
                <w:rFonts w:hint="eastAsia" w:ascii="仿宋_GB2312" w:hAnsi="仿宋_GB2312" w:eastAsia="仿宋_GB2312" w:cs="仿宋_GB2312"/>
                <w:b/>
                <w:sz w:val="23"/>
                <w:szCs w:val="23"/>
                <w:shd w:val="clear" w:color="auto" w:fill="FFFFFF"/>
                <w:lang w:bidi="ar"/>
              </w:rPr>
            </w:pPr>
          </w:p>
          <w:p>
            <w:pPr>
              <w:jc w:val="center"/>
              <w:rPr>
                <w:rFonts w:hint="eastAsia" w:ascii="仿宋_GB2312" w:hAnsi="仿宋_GB2312" w:eastAsia="仿宋_GB2312" w:cs="仿宋_GB2312"/>
                <w:b/>
                <w:sz w:val="23"/>
                <w:szCs w:val="23"/>
                <w:shd w:val="clear" w:color="auto" w:fill="FFFFFF"/>
                <w:lang w:bidi="ar"/>
              </w:rPr>
            </w:pPr>
          </w:p>
          <w:p>
            <w:pPr>
              <w:jc w:val="center"/>
              <w:rPr>
                <w:rFonts w:hint="eastAsia" w:ascii="仿宋_GB2312" w:hAnsi="仿宋_GB2312" w:eastAsia="仿宋_GB2312" w:cs="仿宋_GB2312"/>
                <w:b/>
                <w:sz w:val="23"/>
                <w:szCs w:val="23"/>
                <w:shd w:val="clear" w:color="auto" w:fill="FFFFFF"/>
                <w:lang w:bidi="ar"/>
              </w:rPr>
            </w:pPr>
          </w:p>
          <w:p>
            <w:pPr>
              <w:jc w:val="center"/>
              <w:rPr>
                <w:rFonts w:hint="eastAsia" w:ascii="仿宋_GB2312" w:hAnsi="仿宋_GB2312" w:eastAsia="仿宋_GB2312" w:cs="仿宋_GB2312"/>
                <w:b/>
                <w:sz w:val="23"/>
                <w:szCs w:val="23"/>
                <w:shd w:val="clear" w:color="auto" w:fill="FFFFFF"/>
                <w:lang w:bidi="ar"/>
              </w:rPr>
            </w:pPr>
            <w:bookmarkStart w:id="1" w:name="_GoBack"/>
            <w:bookmarkEnd w:id="1"/>
            <w:r>
              <w:rPr>
                <w:sz w:val="32"/>
              </w:rPr>
              <mc:AlternateContent>
                <mc:Choice Requires="wps">
                  <w:drawing>
                    <wp:anchor distT="0" distB="0" distL="114300" distR="114300" simplePos="0" relativeHeight="251659264" behindDoc="0" locked="0" layoutInCell="1" allowOverlap="1">
                      <wp:simplePos x="0" y="0"/>
                      <wp:positionH relativeFrom="column">
                        <wp:posOffset>-625475</wp:posOffset>
                      </wp:positionH>
                      <wp:positionV relativeFrom="paragraph">
                        <wp:posOffset>869315</wp:posOffset>
                      </wp:positionV>
                      <wp:extent cx="517525" cy="9404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17525" cy="940435"/>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wps:txbx>
                            <wps:bodyPr vert="eaVert" upright="1"/>
                          </wps:wsp>
                        </a:graphicData>
                      </a:graphic>
                    </wp:anchor>
                  </w:drawing>
                </mc:Choice>
                <mc:Fallback>
                  <w:pict>
                    <v:shape id="_x0000_s1026" o:spid="_x0000_s1026" o:spt="202" type="#_x0000_t202" style="position:absolute;left:0pt;margin-left:-49.25pt;margin-top:68.45pt;height:74.05pt;width:40.75pt;z-index:251659264;mso-width-relative:page;mso-height-relative:page;" filled="f" stroked="f" coordsize="21600,21600" o:gfxdata="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IbN7CzcAAAACwEAAA8AAAAAAAAAAQAgAAAAOAAA&#10;AGRycy9kb3ducmV2LnhtbFBLAQIUABQAAAAIAIdO4kCL2TCwtQEAAFsDAAAOAAAAAAAAAAEAIAAA&#10;AEEBAABkcnMvZTJvRG9jLnhtbFBLBQYAAAAABgAGAFkBAABoBQAAAAA=&#10;">
                      <v:path/>
                      <v:fill on="f" focussize="0,0"/>
                      <v:stroke on="f"/>
                      <v:imagedata o:title=""/>
                      <o:lock v:ext="edit" aspectratio="f"/>
                      <v:textbox style="layout-flow:vertical-ideographic;">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v:textbox>
                    </v:shape>
                  </w:pict>
                </mc:Fallback>
              </mc:AlternateContent>
            </w:r>
            <w:r>
              <w:rPr>
                <w:rFonts w:hint="eastAsia" w:ascii="仿宋_GB2312" w:hAnsi="仿宋_GB2312" w:eastAsia="仿宋_GB2312" w:cs="仿宋_GB2312"/>
                <w:b/>
                <w:sz w:val="23"/>
                <w:szCs w:val="23"/>
                <w:shd w:val="clear" w:color="auto" w:fill="FFFFFF"/>
                <w:lang w:bidi="ar"/>
              </w:rPr>
              <w:t>副总指挥</w:t>
            </w:r>
          </w:p>
        </w:tc>
        <w:tc>
          <w:tcPr>
            <w:tcW w:w="2533" w:type="dxa"/>
            <w:noWrap w:val="0"/>
            <w:vAlign w:val="center"/>
          </w:tcPr>
          <w:p>
            <w:pPr>
              <w:jc w:val="center"/>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临县人民政府办公室协管副主任、吕梁市生态环境局临县分局局长、临县公安局分管副局长、临县卫生健康和体育局局长、临县应急管理局局长</w:t>
            </w:r>
          </w:p>
        </w:tc>
        <w:tc>
          <w:tcPr>
            <w:tcW w:w="9647" w:type="dxa"/>
            <w:vMerge w:val="continue"/>
            <w:noWrap w:val="0"/>
            <w:vAlign w:val="center"/>
          </w:tcPr>
          <w:p>
            <w:pPr>
              <w:jc w:val="center"/>
              <w:rPr>
                <w:rFonts w:hint="eastAsia" w:ascii="仿宋_GB2312" w:hAnsi="仿宋_GB2312" w:eastAsia="仿宋_GB2312" w:cs="仿宋_GB2312"/>
                <w:sz w:val="23"/>
                <w:szCs w:val="23"/>
                <w:shd w:val="clear" w:color="auto" w:fill="FFFFFF"/>
                <w:lang w:bidi="ar"/>
              </w:rPr>
            </w:pPr>
          </w:p>
        </w:tc>
      </w:tr>
    </w:tbl>
    <w:p>
      <w:pPr>
        <w:jc w:val="center"/>
        <w:rPr>
          <w:rFonts w:hint="eastAsia" w:ascii="仿宋_GB2312" w:hAnsi="仿宋_GB2312" w:eastAsia="仿宋_GB2312" w:cs="仿宋_GB2312"/>
          <w:b/>
          <w:sz w:val="23"/>
          <w:szCs w:val="23"/>
          <w:shd w:val="clear" w:color="auto" w:fill="FFFFFF"/>
          <w:lang w:bidi="ar"/>
        </w:rPr>
        <w:sectPr>
          <w:footerReference r:id="rId3" w:type="default"/>
          <w:pgSz w:w="16838" w:h="11906" w:orient="landscape"/>
          <w:pgMar w:top="1587" w:right="2098" w:bottom="1474" w:left="1984" w:header="851" w:footer="992" w:gutter="0"/>
          <w:pgNumType w:fmt="decimal"/>
          <w:cols w:space="720" w:num="1"/>
          <w:docGrid w:linePitch="312" w:charSpace="0"/>
        </w:sectPr>
      </w:pPr>
    </w:p>
    <w:tbl>
      <w:tblPr>
        <w:tblStyle w:val="6"/>
        <w:tblW w:w="1331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35"/>
        <w:gridCol w:w="2533"/>
        <w:gridCol w:w="964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64" w:hRule="atLeast"/>
          <w:jc w:val="center"/>
        </w:trPr>
        <w:tc>
          <w:tcPr>
            <w:tcW w:w="1135" w:type="dxa"/>
            <w:vMerge w:val="restart"/>
            <w:noWrap w:val="0"/>
            <w:vAlign w:val="center"/>
          </w:tcPr>
          <w:p>
            <w:pPr>
              <w:jc w:val="center"/>
              <w:rPr>
                <w:rFonts w:hint="eastAsia" w:ascii="仿宋_GB2312" w:hAnsi="仿宋_GB2312" w:eastAsia="仿宋_GB2312" w:cs="仿宋_GB2312"/>
                <w:b/>
                <w:sz w:val="23"/>
                <w:szCs w:val="23"/>
                <w:shd w:val="clear" w:color="auto" w:fill="FFFFFF"/>
                <w:lang w:bidi="ar"/>
              </w:rPr>
            </w:pPr>
            <w:r>
              <w:rPr>
                <w:sz w:val="32"/>
              </w:rPr>
              <mc:AlternateContent>
                <mc:Choice Requires="wps">
                  <w:drawing>
                    <wp:anchor distT="0" distB="0" distL="114300" distR="114300" simplePos="0" relativeHeight="251660288" behindDoc="0" locked="0" layoutInCell="1" allowOverlap="1">
                      <wp:simplePos x="0" y="0"/>
                      <wp:positionH relativeFrom="column">
                        <wp:posOffset>-462915</wp:posOffset>
                      </wp:positionH>
                      <wp:positionV relativeFrom="paragraph">
                        <wp:posOffset>-33020</wp:posOffset>
                      </wp:positionV>
                      <wp:extent cx="387985" cy="9404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7985" cy="940435"/>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26</w:t>
                                  </w:r>
                                  <w:r>
                                    <w:rPr>
                                      <w:rFonts w:hint="eastAsia" w:ascii="宋体" w:hAnsi="宋体" w:eastAsia="宋体" w:cs="宋体"/>
                                      <w:sz w:val="28"/>
                                      <w:szCs w:val="28"/>
                                    </w:rPr>
                                    <w:t xml:space="preserve"> —</w:t>
                                  </w:r>
                                </w:p>
                                <w:p/>
                              </w:txbxContent>
                            </wps:txbx>
                            <wps:bodyPr vert="eaVert" upright="1"/>
                          </wps:wsp>
                        </a:graphicData>
                      </a:graphic>
                    </wp:anchor>
                  </w:drawing>
                </mc:Choice>
                <mc:Fallback>
                  <w:pict>
                    <v:shape id="_x0000_s1026" o:spid="_x0000_s1026" o:spt="202" type="#_x0000_t202" style="position:absolute;left:0pt;margin-left:-36.45pt;margin-top:-2.6pt;height:74.05pt;width:30.55pt;z-index:251660288;mso-width-relative:page;mso-height-relative:page;" filled="f" stroked="f" coordsize="21600,21600" o:gfxdata="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&#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h7+yE2gAAAAoBAAAPAAAAAAAAAAEAIAAAADgAAABk&#10;cnMvZG93bnJldi54bWxQSwECFAAUAAAACACHTuJArGTVDLUBAABbAwAADgAAAAAAAAABACAAAAA/&#10;AQAAZHJzL2Uyb0RvYy54bWxQSwUGAAAAAAYABgBZAQAAZgUAAAAA&#10;">
                      <v:path/>
                      <v:fill on="f" focussize="0,0"/>
                      <v:stroke on="f"/>
                      <v:imagedata o:title=""/>
                      <o:lock v:ext="edit" aspectratio="f"/>
                      <v:textbox style="layout-flow:vertical-ideographic;">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26</w:t>
                            </w:r>
                            <w:r>
                              <w:rPr>
                                <w:rFonts w:hint="eastAsia" w:ascii="宋体" w:hAnsi="宋体" w:eastAsia="宋体" w:cs="宋体"/>
                                <w:sz w:val="28"/>
                                <w:szCs w:val="28"/>
                              </w:rPr>
                              <w:t xml:space="preserve"> —</w:t>
                            </w:r>
                          </w:p>
                          <w:p/>
                        </w:txbxContent>
                      </v:textbox>
                    </v:shape>
                  </w:pict>
                </mc:Fallback>
              </mc:AlternateContent>
            </w:r>
          </w:p>
          <w:p>
            <w:pPr>
              <w:jc w:val="center"/>
              <w:rPr>
                <w:rFonts w:hint="eastAsia" w:ascii="仿宋_GB2312" w:hAnsi="仿宋_GB2312" w:eastAsia="仿宋_GB2312" w:cs="仿宋_GB2312"/>
                <w:b/>
                <w:sz w:val="23"/>
                <w:szCs w:val="23"/>
                <w:shd w:val="clear" w:color="auto" w:fill="FFFFFF"/>
                <w:lang w:bidi="ar"/>
              </w:rPr>
            </w:pPr>
          </w:p>
          <w:p>
            <w:pPr>
              <w:jc w:val="center"/>
              <w:rPr>
                <w:rFonts w:hint="eastAsia" w:ascii="仿宋_GB2312" w:hAnsi="仿宋_GB2312" w:eastAsia="仿宋_GB2312" w:cs="仿宋_GB2312"/>
                <w:b/>
                <w:sz w:val="23"/>
                <w:szCs w:val="23"/>
                <w:shd w:val="clear" w:color="auto" w:fill="FFFFFF"/>
                <w:lang w:bidi="ar"/>
              </w:rPr>
            </w:pPr>
          </w:p>
          <w:p>
            <w:pPr>
              <w:jc w:val="center"/>
              <w:rPr>
                <w:rFonts w:hint="eastAsia" w:ascii="仿宋_GB2312" w:hAnsi="仿宋_GB2312" w:eastAsia="仿宋_GB2312" w:cs="仿宋_GB2312"/>
                <w:b/>
                <w:sz w:val="23"/>
                <w:szCs w:val="23"/>
                <w:shd w:val="clear" w:color="auto" w:fill="FFFFFF"/>
                <w:lang w:bidi="ar"/>
              </w:rPr>
            </w:pPr>
          </w:p>
          <w:p>
            <w:pPr>
              <w:jc w:val="center"/>
              <w:rPr>
                <w:rFonts w:hint="eastAsia" w:ascii="仿宋_GB2312" w:hAnsi="仿宋_GB2312" w:eastAsia="仿宋_GB2312" w:cs="仿宋_GB2312"/>
                <w:b/>
                <w:sz w:val="23"/>
                <w:szCs w:val="23"/>
                <w:shd w:val="clear" w:color="auto" w:fill="FFFFFF"/>
                <w:lang w:bidi="ar"/>
              </w:rPr>
            </w:pPr>
          </w:p>
          <w:p>
            <w:pPr>
              <w:jc w:val="center"/>
              <w:rPr>
                <w:rFonts w:hint="eastAsia" w:ascii="仿宋_GB2312" w:hAnsi="仿宋_GB2312" w:eastAsia="仿宋_GB2312" w:cs="仿宋_GB2312"/>
                <w:b/>
                <w:sz w:val="23"/>
                <w:szCs w:val="23"/>
                <w:shd w:val="clear" w:color="auto" w:fill="FFFFFF"/>
                <w:lang w:bidi="ar"/>
              </w:rPr>
            </w:pPr>
          </w:p>
          <w:p>
            <w:pPr>
              <w:jc w:val="center"/>
              <w:rPr>
                <w:rFonts w:hint="eastAsia" w:ascii="仿宋_GB2312" w:hAnsi="仿宋_GB2312" w:eastAsia="仿宋_GB2312" w:cs="仿宋_GB2312"/>
                <w:b/>
                <w:sz w:val="23"/>
                <w:szCs w:val="23"/>
                <w:shd w:val="clear" w:color="auto" w:fill="FFFFFF"/>
                <w:lang w:bidi="ar"/>
              </w:rPr>
            </w:pPr>
          </w:p>
          <w:p>
            <w:pPr>
              <w:jc w:val="center"/>
              <w:rPr>
                <w:rFonts w:hint="eastAsia" w:ascii="仿宋_GB2312" w:hAnsi="仿宋_GB2312" w:eastAsia="仿宋_GB2312" w:cs="仿宋_GB2312"/>
                <w:b/>
                <w:sz w:val="23"/>
                <w:szCs w:val="23"/>
                <w:shd w:val="clear" w:color="auto" w:fill="FFFFFF"/>
                <w:lang w:bidi="ar"/>
              </w:rPr>
            </w:pPr>
          </w:p>
          <w:p>
            <w:pPr>
              <w:pStyle w:val="2"/>
              <w:rPr>
                <w:rFonts w:hint="eastAsia" w:ascii="仿宋_GB2312" w:hAnsi="仿宋_GB2312" w:eastAsia="仿宋_GB2312" w:cs="仿宋_GB2312"/>
                <w:b/>
                <w:sz w:val="23"/>
                <w:szCs w:val="23"/>
                <w:shd w:val="clear" w:color="auto" w:fill="FFFFFF"/>
                <w:lang w:bidi="ar"/>
              </w:rPr>
            </w:pPr>
          </w:p>
          <w:p>
            <w:pPr>
              <w:pStyle w:val="2"/>
              <w:rPr>
                <w:rFonts w:hint="eastAsia" w:ascii="仿宋_GB2312" w:hAnsi="仿宋_GB2312" w:eastAsia="仿宋_GB2312" w:cs="仿宋_GB2312"/>
                <w:b/>
                <w:sz w:val="23"/>
                <w:szCs w:val="23"/>
                <w:shd w:val="clear" w:color="auto" w:fill="FFFFFF"/>
                <w:lang w:bidi="ar"/>
              </w:rPr>
            </w:pPr>
          </w:p>
          <w:p>
            <w:pPr>
              <w:pStyle w:val="2"/>
              <w:rPr>
                <w:rFonts w:hint="eastAsia" w:ascii="仿宋_GB2312" w:hAnsi="仿宋_GB2312" w:eastAsia="仿宋_GB2312" w:cs="仿宋_GB2312"/>
                <w:b/>
                <w:sz w:val="23"/>
                <w:szCs w:val="23"/>
                <w:shd w:val="clear" w:color="auto" w:fill="FFFFFF"/>
                <w:lang w:bidi="ar"/>
              </w:rPr>
            </w:pPr>
          </w:p>
          <w:p>
            <w:pPr>
              <w:jc w:val="center"/>
              <w:rPr>
                <w:rFonts w:hint="eastAsia" w:ascii="仿宋_GB2312" w:hAnsi="仿宋_GB2312" w:eastAsia="仿宋_GB2312" w:cs="仿宋_GB2312"/>
                <w:b/>
                <w:sz w:val="23"/>
                <w:szCs w:val="23"/>
                <w:shd w:val="clear" w:color="auto" w:fill="FFFFFF"/>
                <w:lang w:bidi="ar"/>
              </w:rPr>
            </w:pPr>
            <w:r>
              <w:rPr>
                <w:rFonts w:hint="eastAsia" w:ascii="仿宋_GB2312" w:hAnsi="仿宋_GB2312" w:eastAsia="仿宋_GB2312" w:cs="仿宋_GB2312"/>
                <w:b/>
                <w:sz w:val="23"/>
                <w:szCs w:val="23"/>
                <w:shd w:val="clear" w:color="auto" w:fill="FFFFFF"/>
                <w:lang w:bidi="ar"/>
              </w:rPr>
              <w:t>成员</w:t>
            </w:r>
          </w:p>
          <w:p>
            <w:pPr>
              <w:jc w:val="center"/>
              <w:rPr>
                <w:rFonts w:hint="eastAsia" w:ascii="仿宋_GB2312" w:hAnsi="仿宋_GB2312" w:eastAsia="仿宋_GB2312" w:cs="仿宋_GB2312"/>
                <w:b/>
                <w:sz w:val="23"/>
                <w:szCs w:val="23"/>
                <w:shd w:val="clear" w:color="auto" w:fill="FFFFFF"/>
                <w:lang w:bidi="ar"/>
              </w:rPr>
            </w:pPr>
            <w:r>
              <w:rPr>
                <w:rFonts w:hint="eastAsia" w:ascii="仿宋_GB2312" w:hAnsi="仿宋_GB2312" w:eastAsia="仿宋_GB2312" w:cs="仿宋_GB2312"/>
                <w:b/>
                <w:sz w:val="23"/>
                <w:szCs w:val="23"/>
                <w:shd w:val="clear" w:color="auto" w:fill="FFFFFF"/>
                <w:lang w:bidi="ar"/>
              </w:rPr>
              <w:t>单位</w:t>
            </w:r>
          </w:p>
        </w:tc>
        <w:tc>
          <w:tcPr>
            <w:tcW w:w="2533" w:type="dxa"/>
            <w:noWrap w:val="0"/>
            <w:vAlign w:val="center"/>
          </w:tcPr>
          <w:p>
            <w:pPr>
              <w:jc w:val="center"/>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eastAsia="zh-CN" w:bidi="ar"/>
              </w:rPr>
              <w:t>市</w:t>
            </w:r>
            <w:r>
              <w:rPr>
                <w:rFonts w:hint="eastAsia" w:ascii="仿宋_GB2312" w:hAnsi="仿宋_GB2312" w:eastAsia="仿宋_GB2312" w:cs="仿宋_GB2312"/>
                <w:sz w:val="23"/>
                <w:szCs w:val="23"/>
                <w:shd w:val="clear" w:color="auto" w:fill="FFFFFF"/>
                <w:lang w:bidi="ar"/>
              </w:rPr>
              <w:t>生态环境局临县分局</w:t>
            </w:r>
          </w:p>
        </w:tc>
        <w:tc>
          <w:tcPr>
            <w:tcW w:w="9647" w:type="dxa"/>
            <w:noWrap w:val="0"/>
            <w:vAlign w:val="center"/>
          </w:tcPr>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负责县应急指挥部办公室应急值守等相关工作，做好辐射事故应急响应准备和各项应急措施的落实工作；负责辐射事故的应急响应、调查处理和定性定级工作，协助公安部门监控追缴丢失、被盗的放射源或射线装置；根据县应急指挥部授权，负责向上级有关部门报告辐射事故应急响应的应急处理信息；负责落实现场辐射环境应急监测和防护行动；负责编制年度预算，负责向县发改局、县财政局提出应急能力建设和装备物资配置及所需资金计划；及时向县宣传部门及县直各新闻单位提供有关辐射安全科普材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35" w:type="dxa"/>
            <w:vMerge w:val="continue"/>
            <w:noWrap w:val="0"/>
            <w:vAlign w:val="center"/>
          </w:tcPr>
          <w:p>
            <w:pPr>
              <w:jc w:val="center"/>
              <w:rPr>
                <w:rFonts w:hint="eastAsia" w:ascii="仿宋_GB2312" w:hAnsi="仿宋_GB2312" w:eastAsia="仿宋_GB2312" w:cs="仿宋_GB2312"/>
                <w:b/>
                <w:sz w:val="23"/>
                <w:szCs w:val="23"/>
                <w:shd w:val="clear" w:color="auto" w:fill="FFFFFF"/>
                <w:lang w:bidi="ar"/>
              </w:rPr>
            </w:pPr>
          </w:p>
        </w:tc>
        <w:tc>
          <w:tcPr>
            <w:tcW w:w="2533" w:type="dxa"/>
            <w:noWrap w:val="0"/>
            <w:vAlign w:val="center"/>
          </w:tcPr>
          <w:p>
            <w:pPr>
              <w:jc w:val="center"/>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县委宣传部</w:t>
            </w:r>
          </w:p>
        </w:tc>
        <w:tc>
          <w:tcPr>
            <w:tcW w:w="9647" w:type="dxa"/>
            <w:noWrap w:val="0"/>
            <w:vAlign w:val="center"/>
          </w:tcPr>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负责辐射环境安全科普宣传，依据临县生态环境建设保护领导小组要求开展辐射事故应急处置报道；坚持正确的舆论导向，开展核安全文化宣传，营造有利于辐射应急处置的舆论氛围。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35" w:type="dxa"/>
            <w:vMerge w:val="continue"/>
            <w:noWrap w:val="0"/>
            <w:vAlign w:val="center"/>
          </w:tcPr>
          <w:p>
            <w:pPr>
              <w:jc w:val="center"/>
              <w:rPr>
                <w:rFonts w:hint="eastAsia" w:ascii="仿宋_GB2312" w:hAnsi="仿宋_GB2312" w:eastAsia="仿宋_GB2312" w:cs="仿宋_GB2312"/>
                <w:sz w:val="23"/>
                <w:szCs w:val="23"/>
                <w:shd w:val="clear" w:color="auto" w:fill="FFFFFF"/>
                <w:lang w:bidi="ar"/>
              </w:rPr>
            </w:pPr>
          </w:p>
        </w:tc>
        <w:tc>
          <w:tcPr>
            <w:tcW w:w="2533" w:type="dxa"/>
            <w:noWrap w:val="0"/>
            <w:vAlign w:val="center"/>
          </w:tcPr>
          <w:p>
            <w:pPr>
              <w:jc w:val="center"/>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县发展和改革局</w:t>
            </w:r>
          </w:p>
        </w:tc>
        <w:tc>
          <w:tcPr>
            <w:tcW w:w="9647" w:type="dxa"/>
            <w:noWrap w:val="0"/>
            <w:vAlign w:val="center"/>
          </w:tcPr>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负责应急状态下紧缺物资生产组织工作；承担辐射事故应急状态下煤、电、油、气、运紧急调度和综合协调，按照现行医药储备体系负责医药用品的调拨供应。负责加强对辐射事故应急状态下生活必须品市场运行和供应情况的监控，协调组织粮食和应急物资的调运工作。</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35" w:type="dxa"/>
            <w:vMerge w:val="continue"/>
            <w:noWrap w:val="0"/>
            <w:vAlign w:val="center"/>
          </w:tcPr>
          <w:p>
            <w:pPr>
              <w:jc w:val="center"/>
              <w:rPr>
                <w:rFonts w:hint="eastAsia" w:ascii="仿宋_GB2312" w:hAnsi="仿宋_GB2312" w:eastAsia="仿宋_GB2312" w:cs="仿宋_GB2312"/>
                <w:sz w:val="23"/>
                <w:szCs w:val="23"/>
                <w:shd w:val="clear" w:color="auto" w:fill="FFFFFF"/>
                <w:lang w:bidi="ar"/>
              </w:rPr>
            </w:pPr>
          </w:p>
        </w:tc>
        <w:tc>
          <w:tcPr>
            <w:tcW w:w="2533" w:type="dxa"/>
            <w:noWrap w:val="0"/>
            <w:vAlign w:val="center"/>
          </w:tcPr>
          <w:p>
            <w:pPr>
              <w:jc w:val="center"/>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县财政局</w:t>
            </w:r>
          </w:p>
        </w:tc>
        <w:tc>
          <w:tcPr>
            <w:tcW w:w="9647" w:type="dxa"/>
            <w:noWrap w:val="0"/>
            <w:vAlign w:val="center"/>
          </w:tcPr>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负责保障临县辐射事故应急能力建设经费，按照相关规定配置急需和必要的辐射应急专用设备，保障临县辐射事故处置所需装备、器材及交通等物资经费，并做好经费使用情况的监督检查工作。</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35" w:type="dxa"/>
            <w:vMerge w:val="continue"/>
            <w:noWrap w:val="0"/>
            <w:vAlign w:val="center"/>
          </w:tcPr>
          <w:p>
            <w:pPr>
              <w:jc w:val="center"/>
              <w:rPr>
                <w:rFonts w:hint="eastAsia" w:ascii="仿宋_GB2312" w:hAnsi="仿宋_GB2312" w:eastAsia="仿宋_GB2312" w:cs="仿宋_GB2312"/>
                <w:sz w:val="23"/>
                <w:szCs w:val="23"/>
                <w:shd w:val="clear" w:color="auto" w:fill="FFFFFF"/>
                <w:lang w:bidi="ar"/>
              </w:rPr>
            </w:pPr>
          </w:p>
        </w:tc>
        <w:tc>
          <w:tcPr>
            <w:tcW w:w="2533" w:type="dxa"/>
            <w:noWrap w:val="0"/>
            <w:vAlign w:val="center"/>
          </w:tcPr>
          <w:p>
            <w:pPr>
              <w:jc w:val="center"/>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县公安局</w:t>
            </w:r>
          </w:p>
        </w:tc>
        <w:tc>
          <w:tcPr>
            <w:tcW w:w="9647" w:type="dxa"/>
            <w:noWrap w:val="0"/>
            <w:vAlign w:val="center"/>
          </w:tcPr>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负责落实各项紧急状态措施，封闭事故现场，确保交通畅通，维护辐射事故发生地公共秩序；负责丢失、被盗放射源的立案侦查和追缴工作；设立现场警戒区和交通管制区域；协助主管部门转移、疏散受灾群众；查处打击违法犯罪活动，落实各项强制隔离措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35" w:type="dxa"/>
            <w:vMerge w:val="continue"/>
            <w:noWrap w:val="0"/>
            <w:vAlign w:val="center"/>
          </w:tcPr>
          <w:p>
            <w:pPr>
              <w:jc w:val="center"/>
              <w:rPr>
                <w:rFonts w:hint="eastAsia" w:ascii="仿宋_GB2312" w:hAnsi="仿宋_GB2312" w:eastAsia="仿宋_GB2312" w:cs="仿宋_GB2312"/>
                <w:sz w:val="23"/>
                <w:szCs w:val="23"/>
                <w:shd w:val="clear" w:color="auto" w:fill="FFFFFF"/>
                <w:lang w:bidi="ar"/>
              </w:rPr>
            </w:pPr>
          </w:p>
        </w:tc>
        <w:tc>
          <w:tcPr>
            <w:tcW w:w="2533" w:type="dxa"/>
            <w:noWrap w:val="0"/>
            <w:vAlign w:val="center"/>
          </w:tcPr>
          <w:p>
            <w:pPr>
              <w:jc w:val="center"/>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县卫生健康和体育局</w:t>
            </w:r>
          </w:p>
        </w:tc>
        <w:tc>
          <w:tcPr>
            <w:tcW w:w="9647" w:type="dxa"/>
            <w:noWrap w:val="0"/>
            <w:vAlign w:val="center"/>
          </w:tcPr>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负责组织协调事发地卫生医疗机构开展辐射损伤人员转运、救治、现场医学救援工作，及时指导开展公众防护、风险沟通等工作；负责辐射事故造成辐射伤员的救治和区域人员预防工作；负责辐射事故处置过程中职业病防治工作。</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35" w:type="dxa"/>
            <w:vMerge w:val="continue"/>
            <w:noWrap w:val="0"/>
            <w:vAlign w:val="center"/>
          </w:tcPr>
          <w:p>
            <w:pPr>
              <w:jc w:val="center"/>
              <w:rPr>
                <w:rFonts w:hint="eastAsia" w:ascii="仿宋_GB2312" w:hAnsi="仿宋_GB2312" w:eastAsia="仿宋_GB2312" w:cs="仿宋_GB2312"/>
                <w:sz w:val="23"/>
                <w:szCs w:val="23"/>
                <w:shd w:val="clear" w:color="auto" w:fill="FFFFFF"/>
                <w:lang w:bidi="ar"/>
              </w:rPr>
            </w:pPr>
          </w:p>
        </w:tc>
        <w:tc>
          <w:tcPr>
            <w:tcW w:w="2533" w:type="dxa"/>
            <w:noWrap w:val="0"/>
            <w:vAlign w:val="center"/>
          </w:tcPr>
          <w:p>
            <w:pPr>
              <w:jc w:val="center"/>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县应急管理局</w:t>
            </w:r>
          </w:p>
        </w:tc>
        <w:tc>
          <w:tcPr>
            <w:tcW w:w="9647" w:type="dxa"/>
            <w:noWrap w:val="0"/>
            <w:vAlign w:val="center"/>
          </w:tcPr>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指导辐射事故应急预案体系建设，按照临县辐射事故应急指挥部要求，协调衔接辐射事故应急处置时相关应急救援力量。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35" w:type="dxa"/>
            <w:noWrap w:val="0"/>
            <w:vAlign w:val="center"/>
          </w:tcPr>
          <w:p>
            <w:pPr>
              <w:pStyle w:val="2"/>
              <w:rPr>
                <w:rFonts w:hint="eastAsia" w:ascii="仿宋_GB2312" w:hAnsi="仿宋_GB2312" w:eastAsia="仿宋_GB2312" w:cs="仿宋_GB2312"/>
                <w:sz w:val="23"/>
                <w:szCs w:val="23"/>
              </w:rPr>
            </w:pPr>
          </w:p>
        </w:tc>
        <w:tc>
          <w:tcPr>
            <w:tcW w:w="2533" w:type="dxa"/>
            <w:noWrap w:val="0"/>
            <w:vAlign w:val="center"/>
          </w:tcPr>
          <w:p>
            <w:pPr>
              <w:jc w:val="center"/>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县民政局</w:t>
            </w:r>
          </w:p>
        </w:tc>
        <w:tc>
          <w:tcPr>
            <w:tcW w:w="9647" w:type="dxa"/>
            <w:noWrap w:val="0"/>
            <w:vAlign w:val="center"/>
          </w:tcPr>
          <w:p>
            <w:pPr>
              <w:jc w:val="left"/>
              <w:rPr>
                <w:rFonts w:hint="eastAsia" w:ascii="仿宋_GB2312" w:hAnsi="仿宋_GB2312" w:eastAsia="仿宋_GB2312" w:cs="仿宋_GB2312"/>
                <w:sz w:val="23"/>
                <w:szCs w:val="23"/>
                <w:shd w:val="clear" w:color="auto" w:fill="FFFFFF"/>
                <w:lang w:bidi="ar"/>
              </w:rPr>
            </w:pPr>
            <w:r>
              <w:rPr>
                <w:rFonts w:hint="eastAsia" w:ascii="仿宋_GB2312" w:hAnsi="仿宋_GB2312" w:eastAsia="仿宋_GB2312" w:cs="仿宋_GB2312"/>
                <w:sz w:val="23"/>
                <w:szCs w:val="23"/>
                <w:shd w:val="clear" w:color="auto" w:fill="FFFFFF"/>
                <w:lang w:bidi="ar"/>
              </w:rPr>
              <w:t>负责组织协调辐射事故事件污染区域内人民群众的转移安置；做好灾民的临时基本生活救助，救济物资的发放工作；做好国内外有关组织、人员所捐赠物资的接收、分配、管理工作；负责受辐射事故事件影响造成死亡人员的遗体处置。</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50"/>
        <w:tab w:val="left" w:pos="4818"/>
        <w:tab w:val="clear" w:pos="4153"/>
        <w:tab w:val="clear" w:pos="8306"/>
      </w:tabs>
    </w:pP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DFC848"/>
    <w:rsid w:val="EFDFC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2"/>
    <w:basedOn w:val="1"/>
    <w:qFormat/>
    <w:uiPriority w:val="0"/>
    <w:pPr>
      <w:ind w:firstLine="200" w:firstLineChars="0"/>
    </w:pPr>
    <w:rPr>
      <w:rFonts w:ascii="Times New Roman" w:hAnsi="Times New Roman" w:eastAsia="宋体"/>
      <w:sz w:val="21"/>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rPr>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2023-06-01T16:20:00Z</dcterms:created>
  <dc:creator>greatwall</dc:creator>
  <cp:lastModifiedBy>greatwall</cp:lastModifiedBy>
  <dcterms:modified xsi:type="dcterms:W3CDTF">2023-06-01T16:32:58Z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